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sz w:val="30"/>
          <w:szCs w:val="30"/>
        </w:rPr>
      </w:pPr>
      <w:bookmarkStart w:id="25" w:name="_GoBack"/>
      <w:r>
        <w:rPr>
          <w:rFonts w:hint="eastAsia" w:eastAsia="宋体"/>
          <w:sz w:val="30"/>
          <w:szCs w:val="30"/>
          <w:u w:val="single"/>
        </w:rPr>
        <w:t>京九線（廣東段）牽引供電設備委管業務</w:t>
      </w:r>
      <w:r>
        <w:rPr>
          <w:rFonts w:hint="eastAsia" w:eastAsia="宋体"/>
          <w:sz w:val="30"/>
          <w:szCs w:val="30"/>
        </w:rPr>
        <w:t>二次</w:t>
      </w:r>
      <w:r>
        <w:rPr>
          <w:rFonts w:eastAsia="宋体"/>
          <w:sz w:val="30"/>
          <w:szCs w:val="30"/>
        </w:rPr>
        <w:t>招標公告</w:t>
      </w:r>
    </w:p>
    <w:bookmarkEnd w:id="25"/>
    <w:p>
      <w:pPr>
        <w:spacing w:line="400" w:lineRule="exact"/>
        <w:ind w:firstLine="3300" w:firstLineChars="1100"/>
        <w:rPr>
          <w:rFonts w:eastAsia="黑体"/>
          <w:sz w:val="32"/>
          <w:szCs w:val="32"/>
          <w:u w:val="single"/>
        </w:rPr>
      </w:pPr>
      <w:r>
        <w:rPr>
          <w:rFonts w:hint="eastAsia" w:eastAsia="宋体"/>
          <w:sz w:val="30"/>
          <w:szCs w:val="30"/>
        </w:rPr>
        <w:t>招標編號：</w:t>
      </w:r>
      <w:bookmarkStart w:id="0" w:name="_Hlk101272661"/>
      <w:r>
        <w:rPr>
          <w:rFonts w:eastAsia="宋体"/>
          <w:sz w:val="30"/>
          <w:szCs w:val="30"/>
          <w:u w:val="single"/>
        </w:rPr>
        <w:t>GDFW-2022</w:t>
      </w:r>
      <w:r>
        <w:rPr>
          <w:rFonts w:hint="eastAsia" w:eastAsia="宋体"/>
          <w:sz w:val="30"/>
          <w:szCs w:val="30"/>
          <w:u w:val="single"/>
        </w:rPr>
        <w:t>-</w:t>
      </w:r>
      <w:r>
        <w:rPr>
          <w:rFonts w:eastAsia="宋体"/>
          <w:sz w:val="30"/>
          <w:szCs w:val="30"/>
          <w:u w:val="single"/>
        </w:rPr>
        <w:t>01</w:t>
      </w:r>
      <w:bookmarkEnd w:id="0"/>
    </w:p>
    <w:p>
      <w:pPr>
        <w:pStyle w:val="11"/>
        <w:spacing w:before="120" w:beforeLines="50" w:after="120" w:afterLines="50"/>
        <w:rPr>
          <w:rFonts w:ascii="Times New Roman" w:hAnsi="Times New Roman" w:eastAsia="黑体" w:cs="Times New Roman"/>
          <w:b w:val="0"/>
          <w:bCs w:val="0"/>
          <w:color w:val="auto"/>
          <w:sz w:val="28"/>
        </w:rPr>
      </w:pPr>
      <w:bookmarkStart w:id="1" w:name="_Toc100227368"/>
      <w:r>
        <w:rPr>
          <w:rFonts w:ascii="Times New Roman" w:hAnsi="Times New Roman" w:eastAsia="宋体" w:cs="Times New Roman"/>
          <w:b w:val="0"/>
          <w:bCs w:val="0"/>
          <w:color w:val="auto"/>
          <w:sz w:val="28"/>
        </w:rPr>
        <w:t>1. 招標條件</w:t>
      </w:r>
      <w:bookmarkEnd w:id="1"/>
    </w:p>
    <w:p>
      <w:pPr>
        <w:pStyle w:val="10"/>
        <w:spacing w:line="400" w:lineRule="exact"/>
        <w:ind w:firstLine="420"/>
        <w:jc w:val="left"/>
        <w:rPr>
          <w:rFonts w:ascii="Times New Roman" w:hAnsi="Times New Roman" w:eastAsia="宋体" w:cs="Times New Roman"/>
          <w:color w:val="auto"/>
          <w:sz w:val="21"/>
          <w:szCs w:val="21"/>
        </w:rPr>
      </w:pPr>
      <w:r>
        <w:rPr>
          <w:rFonts w:hint="eastAsia" w:ascii="宋体" w:eastAsia="宋体"/>
          <w:color w:val="auto"/>
          <w:sz w:val="21"/>
          <w:szCs w:val="21"/>
        </w:rPr>
        <w:t>本建設專案</w:t>
      </w:r>
      <w:r>
        <w:rPr>
          <w:rFonts w:hint="eastAsia" w:ascii="宋体" w:eastAsia="宋体"/>
          <w:color w:val="auto"/>
          <w:sz w:val="21"/>
          <w:szCs w:val="21"/>
          <w:u w:val="single"/>
        </w:rPr>
        <w:t>京九線（廣東段）牽引供電設備委管業務</w:t>
      </w:r>
      <w:r>
        <w:rPr>
          <w:rFonts w:hint="eastAsia" w:ascii="宋体" w:eastAsia="宋体"/>
          <w:color w:val="auto"/>
          <w:sz w:val="21"/>
          <w:szCs w:val="21"/>
        </w:rPr>
        <w:t>已由</w:t>
      </w:r>
      <w:r>
        <w:rPr>
          <w:rFonts w:hint="eastAsia" w:ascii="宋体" w:eastAsia="宋体"/>
          <w:color w:val="auto"/>
          <w:sz w:val="21"/>
          <w:szCs w:val="21"/>
          <w:u w:val="single"/>
        </w:rPr>
        <w:t>中國鐵路廣州局集團有限公司財務部</w:t>
      </w:r>
      <w:r>
        <w:rPr>
          <w:rFonts w:hint="eastAsia" w:ascii="宋体" w:eastAsia="宋体"/>
          <w:color w:val="auto"/>
          <w:sz w:val="21"/>
          <w:szCs w:val="21"/>
        </w:rPr>
        <w:t>批准，專案業主為</w:t>
      </w:r>
      <w:r>
        <w:rPr>
          <w:rFonts w:hint="eastAsia" w:ascii="宋体" w:eastAsia="宋体"/>
          <w:color w:val="auto"/>
          <w:sz w:val="21"/>
          <w:szCs w:val="21"/>
          <w:u w:val="single"/>
        </w:rPr>
        <w:t>廣東鐵路有限公司</w:t>
      </w:r>
      <w:r>
        <w:rPr>
          <w:rFonts w:hint="eastAsia" w:ascii="宋体" w:eastAsia="宋体"/>
          <w:color w:val="auto"/>
          <w:sz w:val="21"/>
          <w:szCs w:val="21"/>
        </w:rPr>
        <w:t>，建設資金來自</w:t>
      </w:r>
      <w:r>
        <w:rPr>
          <w:rFonts w:hint="eastAsia" w:ascii="宋体" w:eastAsia="宋体"/>
          <w:color w:val="auto"/>
          <w:sz w:val="21"/>
          <w:szCs w:val="21"/>
          <w:u w:val="single"/>
        </w:rPr>
        <w:t>企業自籌</w:t>
      </w:r>
      <w:r>
        <w:rPr>
          <w:rFonts w:hint="eastAsia" w:ascii="宋体" w:eastAsia="宋体"/>
          <w:color w:val="auto"/>
          <w:sz w:val="21"/>
          <w:szCs w:val="21"/>
        </w:rPr>
        <w:t>，資金已落實，招標人為</w:t>
      </w:r>
      <w:r>
        <w:rPr>
          <w:rFonts w:hint="eastAsia" w:ascii="宋体" w:eastAsia="宋体"/>
          <w:color w:val="auto"/>
          <w:sz w:val="21"/>
          <w:szCs w:val="21"/>
          <w:u w:val="single"/>
          <w:lang w:val="zh-CN"/>
        </w:rPr>
        <w:t>廣深鐵路股份有限公司深圳供電段</w:t>
      </w:r>
      <w:r>
        <w:rPr>
          <w:rFonts w:hint="eastAsia" w:ascii="宋体" w:eastAsia="宋体"/>
          <w:color w:val="auto"/>
          <w:sz w:val="21"/>
          <w:szCs w:val="21"/>
        </w:rPr>
        <w:t>。本次招標</w:t>
      </w:r>
      <w:r>
        <w:rPr>
          <w:rFonts w:ascii="Times New Roman" w:hAnsi="Times New Roman" w:eastAsia="宋体" w:cs="Times New Roman"/>
          <w:color w:val="auto"/>
          <w:sz w:val="21"/>
          <w:szCs w:val="21"/>
        </w:rPr>
        <w:t>專案已具備</w:t>
      </w:r>
      <w:r>
        <w:rPr>
          <w:rFonts w:hint="eastAsia" w:ascii="Times New Roman" w:hAnsi="Times New Roman" w:eastAsia="宋体" w:cs="Times New Roman"/>
          <w:color w:val="auto"/>
          <w:sz w:val="21"/>
          <w:szCs w:val="21"/>
        </w:rPr>
        <w:t>法定</w:t>
      </w:r>
      <w:r>
        <w:rPr>
          <w:rFonts w:ascii="Times New Roman" w:hAnsi="Times New Roman" w:eastAsia="宋体" w:cs="Times New Roman"/>
          <w:color w:val="auto"/>
          <w:sz w:val="21"/>
          <w:szCs w:val="21"/>
        </w:rPr>
        <w:t>招標條件，現進行公開招標</w:t>
      </w:r>
      <w:r>
        <w:rPr>
          <w:rFonts w:hint="eastAsia" w:ascii="Times New Roman" w:hAnsi="Times New Roman" w:eastAsia="宋体" w:cs="Times New Roman"/>
          <w:color w:val="auto"/>
          <w:sz w:val="21"/>
          <w:szCs w:val="21"/>
        </w:rPr>
        <w:t>，特邀請有意向的投標人參加投標</w:t>
      </w:r>
      <w:r>
        <w:rPr>
          <w:rFonts w:ascii="Times New Roman" w:hAnsi="Times New Roman" w:eastAsia="宋体" w:cs="Times New Roman"/>
          <w:color w:val="auto"/>
          <w:sz w:val="21"/>
          <w:szCs w:val="21"/>
        </w:rPr>
        <w:t>。</w:t>
      </w:r>
    </w:p>
    <w:p>
      <w:pPr>
        <w:pStyle w:val="11"/>
        <w:spacing w:before="120" w:beforeLines="50" w:after="120" w:afterLines="50"/>
        <w:rPr>
          <w:rFonts w:ascii="Times New Roman" w:hAnsi="Times New Roman" w:eastAsia="黑体" w:cs="Times New Roman"/>
          <w:b w:val="0"/>
          <w:bCs w:val="0"/>
          <w:color w:val="auto"/>
          <w:sz w:val="28"/>
        </w:rPr>
      </w:pPr>
      <w:bookmarkStart w:id="2" w:name="_Toc100227369"/>
      <w:r>
        <w:rPr>
          <w:rFonts w:ascii="Times New Roman" w:hAnsi="Times New Roman" w:eastAsia="宋体" w:cs="Times New Roman"/>
          <w:b w:val="0"/>
          <w:bCs w:val="0"/>
          <w:color w:val="auto"/>
          <w:sz w:val="28"/>
        </w:rPr>
        <w:t>2. 專案概況與招標範圍</w:t>
      </w:r>
      <w:bookmarkEnd w:id="2"/>
    </w:p>
    <w:p>
      <w:pPr>
        <w:adjustRightInd w:val="0"/>
        <w:snapToGrid w:val="0"/>
        <w:spacing w:line="400" w:lineRule="exact"/>
        <w:ind w:firstLine="420" w:firstLineChars="200"/>
        <w:rPr>
          <w:szCs w:val="21"/>
        </w:rPr>
      </w:pPr>
      <w:r>
        <w:rPr>
          <w:rFonts w:eastAsia="宋体"/>
          <w:szCs w:val="21"/>
        </w:rPr>
        <w:t>2.1 專案</w:t>
      </w:r>
      <w:r>
        <w:rPr>
          <w:rFonts w:hint="eastAsia" w:eastAsia="宋体"/>
          <w:szCs w:val="21"/>
        </w:rPr>
        <w:t>區間</w:t>
      </w:r>
      <w:r>
        <w:rPr>
          <w:rFonts w:eastAsia="宋体"/>
          <w:szCs w:val="21"/>
        </w:rPr>
        <w:t>：</w:t>
      </w:r>
      <w:r>
        <w:rPr>
          <w:rFonts w:hint="eastAsia" w:eastAsia="宋体"/>
          <w:szCs w:val="21"/>
          <w:u w:val="single"/>
        </w:rPr>
        <w:t>京九線定南（不含）至東莞東（含）間</w:t>
      </w:r>
      <w:r>
        <w:rPr>
          <w:rFonts w:hint="eastAsia" w:eastAsia="宋体"/>
          <w:szCs w:val="21"/>
        </w:rPr>
        <w:t>。</w:t>
      </w:r>
    </w:p>
    <w:p>
      <w:pPr>
        <w:adjustRightInd w:val="0"/>
        <w:snapToGrid w:val="0"/>
        <w:spacing w:line="400" w:lineRule="exact"/>
        <w:ind w:firstLine="420" w:firstLineChars="200"/>
        <w:rPr>
          <w:szCs w:val="21"/>
        </w:rPr>
      </w:pPr>
      <w:r>
        <w:rPr>
          <w:rFonts w:eastAsia="宋体"/>
          <w:szCs w:val="21"/>
        </w:rPr>
        <w:t>2.2 專案規模：</w:t>
      </w:r>
      <w:r>
        <w:rPr>
          <w:rFonts w:hint="eastAsia" w:eastAsia="宋体"/>
          <w:szCs w:val="21"/>
          <w:u w:val="single"/>
        </w:rPr>
        <w:t>京九線定南（不含）至東莞東（含）間303.918運營公里、916.096接觸網條公里牽引供電設備維護管理</w:t>
      </w:r>
      <w:r>
        <w:rPr>
          <w:rFonts w:hint="eastAsia" w:eastAsia="宋体"/>
          <w:szCs w:val="21"/>
        </w:rPr>
        <w:t>。</w:t>
      </w:r>
    </w:p>
    <w:p>
      <w:pPr>
        <w:adjustRightInd w:val="0"/>
        <w:snapToGrid w:val="0"/>
        <w:spacing w:line="400" w:lineRule="exact"/>
        <w:ind w:firstLine="420" w:firstLineChars="200"/>
        <w:rPr>
          <w:szCs w:val="21"/>
        </w:rPr>
      </w:pPr>
      <w:r>
        <w:rPr>
          <w:rFonts w:eastAsia="宋体"/>
          <w:szCs w:val="21"/>
        </w:rPr>
        <w:t xml:space="preserve">2.3 </w:t>
      </w:r>
      <w:r>
        <w:rPr>
          <w:rFonts w:hint="eastAsia" w:eastAsia="宋体"/>
          <w:szCs w:val="21"/>
        </w:rPr>
        <w:t>維保期限：3年</w:t>
      </w:r>
    </w:p>
    <w:p>
      <w:pPr>
        <w:adjustRightInd w:val="0"/>
        <w:snapToGrid w:val="0"/>
        <w:spacing w:line="400" w:lineRule="exact"/>
        <w:ind w:firstLine="420" w:firstLineChars="200"/>
        <w:rPr>
          <w:szCs w:val="21"/>
          <w:u w:val="single"/>
        </w:rPr>
      </w:pPr>
      <w:r>
        <w:rPr>
          <w:rFonts w:eastAsia="宋体"/>
          <w:szCs w:val="21"/>
        </w:rPr>
        <w:t>2.4 招標範圍：</w:t>
      </w:r>
      <w:r>
        <w:rPr>
          <w:rFonts w:hint="eastAsia" w:eastAsia="宋体"/>
          <w:szCs w:val="21"/>
          <w:u w:val="single"/>
        </w:rPr>
        <w:t>京九線定南（不含）至東莞東（含）間303.918運營公里、916.096接觸網條公里牽引供電設備維護管理。包括：接觸網、牽引變電所、分區所、牽引供電遠動系統（不含通道、調度終端）及由甲方提供給乙方使用的有關設備、設施（含動產、不動產）的運行管理、巡視、檢查、養護、維修、試驗、故障搶修、施工配合及電氣設備預防性試驗</w:t>
      </w:r>
      <w:r>
        <w:rPr>
          <w:rFonts w:hint="eastAsia" w:eastAsia="宋体"/>
          <w:szCs w:val="21"/>
        </w:rPr>
        <w:t>。</w:t>
      </w:r>
    </w:p>
    <w:p>
      <w:pPr>
        <w:adjustRightInd w:val="0"/>
        <w:snapToGrid w:val="0"/>
        <w:spacing w:line="400" w:lineRule="exact"/>
        <w:ind w:firstLine="420" w:firstLineChars="200"/>
        <w:rPr>
          <w:szCs w:val="21"/>
        </w:rPr>
      </w:pPr>
      <w:r>
        <w:rPr>
          <w:rFonts w:eastAsia="宋体"/>
          <w:szCs w:val="21"/>
        </w:rPr>
        <w:t>2.5 標段劃分</w:t>
      </w:r>
      <w:r>
        <w:rPr>
          <w:rFonts w:hint="eastAsia" w:eastAsia="宋体"/>
          <w:szCs w:val="21"/>
        </w:rPr>
        <w:t>：</w:t>
      </w:r>
      <w:r>
        <w:rPr>
          <w:rFonts w:eastAsia="宋体"/>
          <w:szCs w:val="21"/>
        </w:rPr>
        <w:t>共劃分</w:t>
      </w:r>
      <w:r>
        <w:rPr>
          <w:rFonts w:eastAsia="宋体"/>
          <w:szCs w:val="21"/>
          <w:u w:val="single"/>
        </w:rPr>
        <w:t xml:space="preserve"> 1</w:t>
      </w:r>
      <w:r>
        <w:rPr>
          <w:rFonts w:eastAsia="宋体"/>
          <w:szCs w:val="21"/>
        </w:rPr>
        <w:t>個標段。</w:t>
      </w:r>
    </w:p>
    <w:p>
      <w:pPr>
        <w:adjustRightInd w:val="0"/>
        <w:snapToGrid w:val="0"/>
        <w:spacing w:line="400" w:lineRule="exact"/>
        <w:ind w:firstLine="420" w:firstLineChars="200"/>
        <w:rPr>
          <w:szCs w:val="21"/>
          <w:u w:val="single"/>
        </w:rPr>
      </w:pPr>
      <w:r>
        <w:rPr>
          <w:rFonts w:eastAsia="宋体"/>
          <w:szCs w:val="21"/>
        </w:rPr>
        <w:t xml:space="preserve">2.6 </w:t>
      </w:r>
      <w:r>
        <w:rPr>
          <w:rFonts w:hint="eastAsia" w:eastAsia="宋体"/>
          <w:szCs w:val="21"/>
        </w:rPr>
        <w:t>本次招標最高投標限價：</w:t>
      </w:r>
      <w:r>
        <w:rPr>
          <w:rFonts w:hint="eastAsia" w:eastAsia="宋体"/>
          <w:szCs w:val="21"/>
          <w:u w:val="single"/>
        </w:rPr>
        <w:t>2022年委管費用為2969.5萬元（不含稅），3</w:t>
      </w:r>
      <w:r>
        <w:rPr>
          <w:rFonts w:eastAsia="宋体"/>
          <w:szCs w:val="21"/>
          <w:u w:val="single"/>
        </w:rPr>
        <w:t>147.67</w:t>
      </w:r>
      <w:r>
        <w:rPr>
          <w:rFonts w:hint="eastAsia" w:eastAsia="宋体"/>
          <w:szCs w:val="21"/>
          <w:u w:val="single"/>
        </w:rPr>
        <w:t>萬元（含稅），2023-2024年按照就低原則根據廣東省前一年公佈實際平均工資增長水準或廣州局集團公司職工平均工資增長水準對合同額進行調整。</w:t>
      </w:r>
    </w:p>
    <w:p>
      <w:pPr>
        <w:pStyle w:val="11"/>
        <w:spacing w:before="120" w:beforeLines="50" w:after="120" w:afterLines="50"/>
        <w:rPr>
          <w:rFonts w:ascii="Times New Roman" w:hAnsi="Times New Roman" w:eastAsia="黑体" w:cs="Times New Roman"/>
          <w:b w:val="0"/>
          <w:bCs w:val="0"/>
          <w:color w:val="auto"/>
          <w:sz w:val="28"/>
        </w:rPr>
      </w:pPr>
      <w:bookmarkStart w:id="3" w:name="_Toc100227370"/>
      <w:r>
        <w:rPr>
          <w:rFonts w:ascii="Times New Roman" w:hAnsi="Times New Roman" w:eastAsia="宋体" w:cs="Times New Roman"/>
          <w:b w:val="0"/>
          <w:bCs w:val="0"/>
          <w:color w:val="auto"/>
          <w:sz w:val="28"/>
        </w:rPr>
        <w:t>3. 投標人資格要求</w:t>
      </w:r>
      <w:bookmarkEnd w:id="3"/>
    </w:p>
    <w:p>
      <w:pPr>
        <w:adjustRightInd w:val="0"/>
        <w:snapToGrid w:val="0"/>
        <w:spacing w:line="400" w:lineRule="exact"/>
        <w:ind w:firstLine="420" w:firstLineChars="200"/>
        <w:rPr>
          <w:rFonts w:ascii="宋体" w:hAnsi="宋体"/>
          <w:szCs w:val="21"/>
        </w:rPr>
      </w:pPr>
      <w:r>
        <w:rPr>
          <w:rFonts w:ascii="宋体" w:hAnsi="宋体" w:eastAsia="宋体"/>
          <w:szCs w:val="21"/>
        </w:rPr>
        <w:t>3.1本次</w:t>
      </w:r>
      <w:r>
        <w:rPr>
          <w:rFonts w:hint="eastAsia" w:ascii="宋体" w:hAnsi="宋体" w:eastAsia="宋体"/>
          <w:szCs w:val="21"/>
        </w:rPr>
        <w:t>投標</w:t>
      </w:r>
      <w:r>
        <w:rPr>
          <w:rFonts w:ascii="宋体" w:hAnsi="宋体" w:eastAsia="宋体"/>
          <w:szCs w:val="21"/>
        </w:rPr>
        <w:t>人應為</w:t>
      </w:r>
      <w:r>
        <w:rPr>
          <w:rFonts w:hint="eastAsia" w:ascii="宋体" w:hAnsi="宋体" w:eastAsia="宋体"/>
          <w:szCs w:val="21"/>
        </w:rPr>
        <w:t>在中華人民共和國境內合法註冊的獨立法人，具備有效營業執照、施工企業資質和安全生產許可證等，並在人員、設備、資金等方面具備相應的施工能力</w:t>
      </w:r>
      <w:r>
        <w:rPr>
          <w:rFonts w:ascii="宋体" w:hAnsi="宋体" w:eastAsia="宋体"/>
          <w:szCs w:val="21"/>
        </w:rPr>
        <w:t>。</w:t>
      </w:r>
    </w:p>
    <w:p>
      <w:pPr>
        <w:adjustRightInd w:val="0"/>
        <w:snapToGrid w:val="0"/>
        <w:spacing w:line="400" w:lineRule="exact"/>
        <w:ind w:firstLine="420" w:firstLineChars="200"/>
        <w:rPr>
          <w:rFonts w:ascii="宋体" w:hAnsi="宋体"/>
          <w:szCs w:val="21"/>
        </w:rPr>
      </w:pPr>
      <w:r>
        <w:rPr>
          <w:rFonts w:ascii="宋体" w:hAnsi="宋体" w:eastAsia="宋体"/>
          <w:szCs w:val="21"/>
        </w:rPr>
        <w:t>3.1.1 標段編號：</w:t>
      </w:r>
      <w:r>
        <w:rPr>
          <w:rFonts w:hint="eastAsia" w:ascii="宋体" w:hAnsi="宋体" w:eastAsia="宋体"/>
          <w:szCs w:val="21"/>
          <w:u w:val="single"/>
        </w:rPr>
        <w:t>標段一</w:t>
      </w:r>
      <w:r>
        <w:rPr>
          <w:rFonts w:hint="eastAsia" w:ascii="宋体" w:hAnsi="宋体" w:eastAsia="宋体"/>
          <w:szCs w:val="21"/>
        </w:rPr>
        <w:t>。</w:t>
      </w:r>
      <w:r>
        <w:rPr>
          <w:rFonts w:ascii="宋体" w:hAnsi="宋体" w:eastAsia="宋体"/>
          <w:szCs w:val="21"/>
        </w:rPr>
        <w:t xml:space="preserve"> </w:t>
      </w:r>
    </w:p>
    <w:p>
      <w:pPr>
        <w:adjustRightInd w:val="0"/>
        <w:snapToGrid w:val="0"/>
        <w:spacing w:line="400" w:lineRule="exact"/>
        <w:ind w:firstLine="420" w:firstLineChars="200"/>
        <w:rPr>
          <w:rFonts w:ascii="宋体" w:hAnsi="宋体"/>
          <w:szCs w:val="21"/>
          <w:u w:val="single"/>
        </w:rPr>
      </w:pPr>
      <w:r>
        <w:rPr>
          <w:rFonts w:ascii="宋体" w:hAnsi="宋体" w:eastAsia="宋体"/>
          <w:szCs w:val="21"/>
        </w:rPr>
        <w:t>（1）資質要求：</w:t>
      </w:r>
      <w:r>
        <w:rPr>
          <w:rFonts w:hint="eastAsia" w:ascii="宋体" w:hAnsi="宋体" w:eastAsia="宋体"/>
          <w:szCs w:val="21"/>
          <w:u w:val="single"/>
        </w:rPr>
        <w:t>具有以下資質之一：鐵路工程施工總承包特級資質或鐵路電氣化工程專業承包壹級資質，或按照《住房和城鄉建設部關於建設工程企業資質管理制度改革方案的通知》（建市〔2020〕94 號）已完成換證工作的投標人，需具備鐵路工程施工總承包甲級資質或鐵路電務電氣化工程專業承包甲級資質。</w:t>
      </w:r>
    </w:p>
    <w:p>
      <w:pPr>
        <w:adjustRightInd w:val="0"/>
        <w:snapToGrid w:val="0"/>
        <w:spacing w:line="400" w:lineRule="exact"/>
        <w:ind w:firstLine="420" w:firstLineChars="200"/>
        <w:rPr>
          <w:rFonts w:ascii="宋体" w:hAnsi="宋体"/>
          <w:szCs w:val="21"/>
        </w:rPr>
      </w:pPr>
      <w:r>
        <w:rPr>
          <w:rFonts w:ascii="宋体" w:hAnsi="宋体" w:eastAsia="宋体"/>
          <w:szCs w:val="21"/>
        </w:rPr>
        <w:t>（2）業績要求：</w:t>
      </w:r>
      <w:r>
        <w:rPr>
          <w:rFonts w:hint="eastAsia" w:ascii="宋体" w:hAnsi="宋体" w:eastAsia="宋体"/>
          <w:szCs w:val="21"/>
          <w:u w:val="single"/>
        </w:rPr>
        <w:t>截止遞交投標檔之日前近五年內同類項目維管經驗。（同類項目是指具有運營時速120km/h及以上鐵路交通涉及牽引供電專業設施設備運行維護專案管理經驗）</w:t>
      </w:r>
      <w:r>
        <w:rPr>
          <w:rFonts w:ascii="宋体" w:hAnsi="宋体" w:eastAsia="宋体"/>
          <w:szCs w:val="21"/>
        </w:rPr>
        <w:t xml:space="preserve"> </w:t>
      </w:r>
      <w:r>
        <w:rPr>
          <w:rFonts w:hint="eastAsia" w:ascii="宋体" w:hAnsi="宋体" w:eastAsia="宋体"/>
          <w:szCs w:val="21"/>
        </w:rPr>
        <w:t>。</w:t>
      </w:r>
      <w:r>
        <w:rPr>
          <w:rFonts w:ascii="宋体" w:hAnsi="宋体" w:eastAsia="宋体"/>
          <w:szCs w:val="21"/>
        </w:rPr>
        <w:t xml:space="preserve"> </w:t>
      </w:r>
    </w:p>
    <w:p>
      <w:pPr>
        <w:adjustRightInd w:val="0"/>
        <w:snapToGrid w:val="0"/>
        <w:spacing w:line="400" w:lineRule="exact"/>
        <w:ind w:firstLine="420" w:firstLineChars="200"/>
        <w:rPr>
          <w:rFonts w:ascii="宋体" w:hAnsi="宋体"/>
          <w:szCs w:val="21"/>
        </w:rPr>
      </w:pPr>
      <w:r>
        <w:rPr>
          <w:rFonts w:ascii="宋体" w:hAnsi="宋体" w:eastAsia="宋体"/>
          <w:szCs w:val="21"/>
        </w:rPr>
        <w:t>（3）</w:t>
      </w:r>
      <w:r>
        <w:rPr>
          <w:rFonts w:hint="eastAsia" w:ascii="宋体" w:hAnsi="宋体" w:eastAsia="宋体"/>
          <w:szCs w:val="21"/>
        </w:rPr>
        <w:t>專案負責人</w:t>
      </w:r>
      <w:r>
        <w:rPr>
          <w:rFonts w:ascii="宋体" w:hAnsi="宋体" w:eastAsia="宋体"/>
          <w:szCs w:val="21"/>
        </w:rPr>
        <w:t>：</w:t>
      </w:r>
      <w:r>
        <w:rPr>
          <w:rFonts w:hint="eastAsia" w:ascii="宋体" w:hAnsi="宋体" w:eastAsia="宋体"/>
          <w:szCs w:val="21"/>
        </w:rPr>
        <w:t>投標</w:t>
      </w:r>
      <w:r>
        <w:rPr>
          <w:rFonts w:ascii="宋体" w:hAnsi="宋体" w:eastAsia="宋体"/>
          <w:szCs w:val="21"/>
        </w:rPr>
        <w:t>人擬派</w:t>
      </w:r>
      <w:r>
        <w:rPr>
          <w:rFonts w:hint="eastAsia" w:ascii="宋体" w:hAnsi="宋体" w:eastAsia="宋体"/>
          <w:szCs w:val="21"/>
        </w:rPr>
        <w:t>專案負責人</w:t>
      </w:r>
      <w:r>
        <w:rPr>
          <w:rFonts w:ascii="宋体" w:hAnsi="宋体" w:eastAsia="宋体"/>
          <w:szCs w:val="21"/>
        </w:rPr>
        <w:t>須具備</w:t>
      </w:r>
      <w:r>
        <w:rPr>
          <w:rFonts w:hint="eastAsia" w:ascii="宋体" w:hAnsi="宋体" w:eastAsia="宋体"/>
          <w:szCs w:val="21"/>
          <w:u w:val="single"/>
        </w:rPr>
        <w:t>鐵路工程或機電工程專業壹級註冊建造師執業資格和有效的安全生產考核合格證書，職稱工程師或以上，具有五年以上專案負責人工作經驗，良好的職業道德</w:t>
      </w:r>
      <w:r>
        <w:rPr>
          <w:rFonts w:ascii="宋体" w:hAnsi="宋体" w:eastAsia="宋体"/>
          <w:szCs w:val="21"/>
        </w:rPr>
        <w:t>。</w:t>
      </w:r>
    </w:p>
    <w:p>
      <w:pPr>
        <w:pStyle w:val="4"/>
        <w:widowControl/>
        <w:spacing w:line="400" w:lineRule="exact"/>
        <w:ind w:left="0" w:firstLine="420" w:firstLineChars="200"/>
        <w:jc w:val="both"/>
        <w:rPr>
          <w:rFonts w:ascii="宋体" w:hAnsi="宋体"/>
          <w:szCs w:val="21"/>
        </w:rPr>
      </w:pPr>
      <w:r>
        <w:rPr>
          <w:rFonts w:ascii="宋体" w:hAnsi="宋体" w:eastAsia="宋体"/>
          <w:sz w:val="21"/>
          <w:szCs w:val="21"/>
        </w:rPr>
        <w:t>（4）本次</w:t>
      </w:r>
      <w:r>
        <w:rPr>
          <w:rFonts w:hint="eastAsia" w:ascii="宋体" w:hAnsi="宋体" w:eastAsia="宋体"/>
          <w:sz w:val="21"/>
          <w:szCs w:val="21"/>
        </w:rPr>
        <w:t>招標</w:t>
      </w:r>
      <w:r>
        <w:rPr>
          <w:rFonts w:ascii="宋体" w:hAnsi="宋体" w:eastAsia="宋体"/>
          <w:sz w:val="21"/>
          <w:szCs w:val="21"/>
          <w:u w:val="single"/>
        </w:rPr>
        <w:t>（不接受）</w:t>
      </w:r>
      <w:r>
        <w:rPr>
          <w:rFonts w:ascii="宋体" w:hAnsi="宋体" w:eastAsia="宋体"/>
          <w:sz w:val="21"/>
          <w:szCs w:val="21"/>
        </w:rPr>
        <w:t>聯合體</w:t>
      </w:r>
      <w:r>
        <w:rPr>
          <w:rFonts w:hint="eastAsia" w:ascii="宋体" w:hAnsi="宋体" w:eastAsia="宋体"/>
          <w:sz w:val="21"/>
          <w:szCs w:val="21"/>
        </w:rPr>
        <w:t>投標</w:t>
      </w:r>
      <w:r>
        <w:rPr>
          <w:rFonts w:ascii="宋体" w:hAnsi="宋体" w:eastAsia="宋体"/>
          <w:sz w:val="21"/>
          <w:szCs w:val="21"/>
        </w:rPr>
        <w:t>申請。</w:t>
      </w:r>
    </w:p>
    <w:p>
      <w:pPr>
        <w:adjustRightInd w:val="0"/>
        <w:snapToGrid w:val="0"/>
        <w:spacing w:line="400" w:lineRule="exact"/>
        <w:ind w:firstLine="420" w:firstLineChars="200"/>
        <w:rPr>
          <w:rFonts w:ascii="宋体" w:hAnsi="宋体"/>
          <w:szCs w:val="21"/>
        </w:rPr>
      </w:pPr>
      <w:r>
        <w:rPr>
          <w:rFonts w:ascii="宋体" w:hAnsi="宋体" w:eastAsia="宋体"/>
          <w:szCs w:val="21"/>
        </w:rPr>
        <w:t>3.2</w:t>
      </w:r>
      <w:r>
        <w:rPr>
          <w:rFonts w:hint="eastAsia" w:ascii="宋体" w:hAnsi="宋体" w:eastAsia="宋体"/>
          <w:szCs w:val="21"/>
        </w:rPr>
        <w:t>投標</w:t>
      </w:r>
      <w:r>
        <w:rPr>
          <w:rFonts w:ascii="宋体" w:hAnsi="宋体" w:eastAsia="宋体"/>
          <w:szCs w:val="21"/>
        </w:rPr>
        <w:t>人不得存在下列情形之一：</w:t>
      </w:r>
    </w:p>
    <w:p>
      <w:pPr>
        <w:adjustRightInd w:val="0"/>
        <w:snapToGrid w:val="0"/>
        <w:spacing w:line="400" w:lineRule="exact"/>
        <w:ind w:firstLine="420" w:firstLineChars="200"/>
        <w:rPr>
          <w:rFonts w:ascii="宋体" w:hAnsi="宋体"/>
          <w:szCs w:val="21"/>
        </w:rPr>
      </w:pPr>
      <w:r>
        <w:rPr>
          <w:rFonts w:ascii="宋体" w:hAnsi="宋体" w:eastAsia="宋体"/>
          <w:szCs w:val="21"/>
        </w:rPr>
        <w:t>（1）在“信用中國”網站（www.creditchina.gov.cn）中被列入失信被執行人名單；</w:t>
      </w:r>
    </w:p>
    <w:p>
      <w:pPr>
        <w:adjustRightInd w:val="0"/>
        <w:snapToGrid w:val="0"/>
        <w:spacing w:line="400" w:lineRule="exact"/>
        <w:ind w:firstLine="420" w:firstLineChars="200"/>
        <w:rPr>
          <w:rFonts w:ascii="宋体" w:hAnsi="宋体"/>
          <w:szCs w:val="21"/>
        </w:rPr>
      </w:pPr>
      <w:r>
        <w:rPr>
          <w:rFonts w:ascii="宋体" w:hAnsi="宋体" w:eastAsia="宋体"/>
          <w:szCs w:val="21"/>
        </w:rPr>
        <w:t>（2</w:t>
      </w:r>
      <w:r>
        <w:rPr>
          <w:rFonts w:hint="eastAsia" w:ascii="宋体" w:hAnsi="宋体" w:eastAsia="宋体"/>
          <w:szCs w:val="21"/>
        </w:rPr>
        <w:t>）</w:t>
      </w:r>
      <w:r>
        <w:rPr>
          <w:rFonts w:ascii="宋体" w:hAnsi="宋体" w:eastAsia="宋体"/>
          <w:szCs w:val="21"/>
        </w:rPr>
        <w:t>在國家企業信用資訊公示系統（www.gsxt.gov.cn）中被列入嚴重違法失信企業名單；</w:t>
      </w:r>
    </w:p>
    <w:p>
      <w:pPr>
        <w:adjustRightInd w:val="0"/>
        <w:snapToGrid w:val="0"/>
        <w:spacing w:line="400" w:lineRule="exact"/>
        <w:ind w:firstLine="420" w:firstLineChars="200"/>
        <w:rPr>
          <w:rFonts w:ascii="宋体" w:hAnsi="宋体"/>
          <w:szCs w:val="21"/>
        </w:rPr>
      </w:pPr>
      <w:r>
        <w:rPr>
          <w:rFonts w:ascii="宋体" w:hAnsi="宋体" w:eastAsia="宋体"/>
          <w:szCs w:val="21"/>
        </w:rPr>
        <w:t>（3）</w:t>
      </w:r>
      <w:bookmarkStart w:id="4" w:name="_Hlk62481035"/>
      <w:r>
        <w:rPr>
          <w:rFonts w:hint="eastAsia" w:ascii="宋体" w:hAnsi="宋体" w:eastAsia="宋体"/>
          <w:szCs w:val="21"/>
        </w:rPr>
        <w:t>投標</w:t>
      </w:r>
      <w:bookmarkEnd w:id="4"/>
      <w:r>
        <w:rPr>
          <w:rFonts w:ascii="宋体" w:hAnsi="宋体" w:eastAsia="宋体"/>
          <w:szCs w:val="21"/>
        </w:rPr>
        <w:t>人及其投標所列主要人員被列入國家鐵路局《鐵路工程建設失信行為認定記錄公佈管理辦法》“黑名單”且在公佈期；</w:t>
      </w:r>
    </w:p>
    <w:p>
      <w:pPr>
        <w:adjustRightInd w:val="0"/>
        <w:snapToGrid w:val="0"/>
        <w:spacing w:line="400" w:lineRule="exact"/>
        <w:ind w:firstLine="420" w:firstLineChars="200"/>
        <w:rPr>
          <w:rFonts w:ascii="宋体" w:hAnsi="宋体"/>
          <w:szCs w:val="21"/>
        </w:rPr>
      </w:pPr>
      <w:r>
        <w:rPr>
          <w:rFonts w:ascii="宋体" w:hAnsi="宋体" w:eastAsia="宋体"/>
          <w:szCs w:val="21"/>
        </w:rPr>
        <w:t>（</w:t>
      </w:r>
      <w:r>
        <w:rPr>
          <w:rFonts w:hint="eastAsia" w:ascii="宋体" w:hAnsi="宋体" w:eastAsia="宋体"/>
          <w:szCs w:val="21"/>
        </w:rPr>
        <w:t>4</w:t>
      </w:r>
      <w:r>
        <w:rPr>
          <w:rFonts w:ascii="宋体" w:hAnsi="宋体" w:eastAsia="宋体"/>
          <w:szCs w:val="21"/>
        </w:rPr>
        <w:t>）</w:t>
      </w:r>
      <w:r>
        <w:rPr>
          <w:rFonts w:hint="eastAsia" w:ascii="宋体" w:hAnsi="宋体" w:eastAsia="宋体"/>
          <w:szCs w:val="21"/>
        </w:rPr>
        <w:t>投標</w:t>
      </w:r>
      <w:r>
        <w:rPr>
          <w:rFonts w:ascii="宋体" w:hAnsi="宋体" w:eastAsia="宋体"/>
          <w:szCs w:val="21"/>
        </w:rPr>
        <w:t>人及其法定代表人、擬委派的</w:t>
      </w:r>
      <w:r>
        <w:rPr>
          <w:rFonts w:hint="eastAsia" w:ascii="宋体" w:hAnsi="宋体" w:eastAsia="宋体"/>
          <w:szCs w:val="21"/>
        </w:rPr>
        <w:t>專案負責人</w:t>
      </w:r>
      <w:r>
        <w:rPr>
          <w:rFonts w:ascii="宋体" w:hAnsi="宋体" w:eastAsia="宋体"/>
          <w:szCs w:val="21"/>
        </w:rPr>
        <w:t>在近3年有行賄犯罪記錄；</w:t>
      </w:r>
    </w:p>
    <w:p>
      <w:pPr>
        <w:adjustRightInd w:val="0"/>
        <w:snapToGrid w:val="0"/>
        <w:spacing w:line="400" w:lineRule="exact"/>
        <w:ind w:firstLine="420" w:firstLineChars="200"/>
        <w:rPr>
          <w:rFonts w:ascii="宋体" w:hAnsi="宋体"/>
          <w:szCs w:val="21"/>
        </w:rPr>
      </w:pPr>
      <w:r>
        <w:rPr>
          <w:rFonts w:ascii="宋体" w:hAnsi="宋体" w:eastAsia="宋体"/>
          <w:szCs w:val="21"/>
        </w:rPr>
        <w:t>（</w:t>
      </w:r>
      <w:r>
        <w:rPr>
          <w:rFonts w:hint="eastAsia" w:ascii="宋体" w:hAnsi="宋体" w:eastAsia="宋体"/>
          <w:szCs w:val="21"/>
        </w:rPr>
        <w:t>5</w:t>
      </w:r>
      <w:r>
        <w:rPr>
          <w:rFonts w:ascii="宋体" w:hAnsi="宋体" w:eastAsia="宋体"/>
          <w:szCs w:val="21"/>
        </w:rPr>
        <w:t>）</w:t>
      </w:r>
      <w:r>
        <w:rPr>
          <w:rFonts w:hint="eastAsia" w:ascii="宋体" w:hAnsi="宋体" w:eastAsia="宋体"/>
          <w:szCs w:val="21"/>
        </w:rPr>
        <w:t>投標</w:t>
      </w:r>
      <w:r>
        <w:rPr>
          <w:rFonts w:ascii="宋体" w:hAnsi="宋体" w:eastAsia="宋体"/>
          <w:szCs w:val="21"/>
        </w:rPr>
        <w:t>人處</w:t>
      </w:r>
      <w:r>
        <w:rPr>
          <w:rFonts w:hint="eastAsia" w:ascii="宋体" w:hAnsi="宋体" w:eastAsia="宋体"/>
          <w:szCs w:val="21"/>
        </w:rPr>
        <w:t>於</w:t>
      </w:r>
      <w:r>
        <w:rPr>
          <w:rFonts w:ascii="宋体" w:hAnsi="宋体" w:eastAsia="宋体"/>
          <w:szCs w:val="21"/>
        </w:rPr>
        <w:t>國鐵集團有關停標通報的停標期限內；</w:t>
      </w:r>
    </w:p>
    <w:p>
      <w:pPr>
        <w:adjustRightInd w:val="0"/>
        <w:snapToGrid w:val="0"/>
        <w:spacing w:line="400" w:lineRule="exact"/>
        <w:ind w:firstLine="420" w:firstLineChars="200"/>
        <w:rPr>
          <w:rFonts w:ascii="宋体" w:hAnsi="宋体"/>
          <w:szCs w:val="21"/>
        </w:rPr>
      </w:pPr>
      <w:r>
        <w:rPr>
          <w:rFonts w:ascii="宋体" w:hAnsi="宋体" w:eastAsia="宋体"/>
          <w:szCs w:val="21"/>
        </w:rPr>
        <w:t>（</w:t>
      </w:r>
      <w:r>
        <w:rPr>
          <w:rFonts w:hint="eastAsia" w:ascii="宋体" w:hAnsi="宋体" w:eastAsia="宋体"/>
          <w:szCs w:val="21"/>
        </w:rPr>
        <w:t>6</w:t>
      </w:r>
      <w:r>
        <w:rPr>
          <w:rFonts w:ascii="宋体" w:hAnsi="宋体" w:eastAsia="宋体"/>
          <w:szCs w:val="21"/>
        </w:rPr>
        <w:t>）被納入國鐵集團“黑名單”且在公佈期限內；</w:t>
      </w:r>
    </w:p>
    <w:p>
      <w:pPr>
        <w:adjustRightInd w:val="0"/>
        <w:snapToGrid w:val="0"/>
        <w:spacing w:line="400" w:lineRule="exact"/>
        <w:ind w:firstLine="420" w:firstLineChars="200"/>
        <w:rPr>
          <w:rFonts w:ascii="宋体" w:hAnsi="宋体"/>
          <w:szCs w:val="21"/>
        </w:rPr>
      </w:pPr>
      <w:r>
        <w:rPr>
          <w:rFonts w:ascii="宋体" w:hAnsi="宋体" w:eastAsia="宋体"/>
          <w:szCs w:val="21"/>
        </w:rPr>
        <w:t>（</w:t>
      </w:r>
      <w:r>
        <w:rPr>
          <w:rFonts w:hint="eastAsia" w:ascii="宋体" w:hAnsi="宋体" w:eastAsia="宋体"/>
          <w:szCs w:val="21"/>
        </w:rPr>
        <w:t>7</w:t>
      </w:r>
      <w:r>
        <w:rPr>
          <w:rFonts w:ascii="宋体" w:hAnsi="宋体" w:eastAsia="宋体"/>
          <w:szCs w:val="21"/>
        </w:rPr>
        <w:t>）</w:t>
      </w:r>
      <w:r>
        <w:rPr>
          <w:rFonts w:hint="eastAsia" w:ascii="宋体" w:hAnsi="宋体" w:eastAsia="宋体"/>
          <w:szCs w:val="21"/>
        </w:rPr>
        <w:t>投標</w:t>
      </w:r>
      <w:r>
        <w:rPr>
          <w:rFonts w:ascii="宋体" w:hAnsi="宋体" w:eastAsia="宋体"/>
          <w:szCs w:val="21"/>
        </w:rPr>
        <w:t>人處於國鐵集團信用評價C級整改期；</w:t>
      </w:r>
    </w:p>
    <w:p>
      <w:pPr>
        <w:adjustRightInd w:val="0"/>
        <w:snapToGrid w:val="0"/>
        <w:spacing w:line="400" w:lineRule="exact"/>
        <w:ind w:firstLine="420" w:firstLineChars="200"/>
        <w:rPr>
          <w:rFonts w:ascii="宋体" w:hAnsi="宋体"/>
          <w:szCs w:val="21"/>
        </w:rPr>
      </w:pPr>
      <w:r>
        <w:rPr>
          <w:rFonts w:ascii="宋体" w:hAnsi="宋体" w:eastAsia="宋体"/>
          <w:szCs w:val="21"/>
        </w:rPr>
        <w:t>（</w:t>
      </w:r>
      <w:r>
        <w:rPr>
          <w:rFonts w:hint="eastAsia" w:ascii="宋体" w:hAnsi="宋体" w:eastAsia="宋体"/>
          <w:szCs w:val="21"/>
        </w:rPr>
        <w:t>8</w:t>
      </w:r>
      <w:r>
        <w:rPr>
          <w:rFonts w:ascii="宋体" w:hAnsi="宋体" w:eastAsia="宋体"/>
          <w:szCs w:val="21"/>
        </w:rPr>
        <w:t>）</w:t>
      </w:r>
      <w:r>
        <w:rPr>
          <w:rFonts w:hint="eastAsia" w:ascii="宋体" w:hAnsi="宋体" w:eastAsia="宋体"/>
          <w:szCs w:val="21"/>
        </w:rPr>
        <w:t>投標</w:t>
      </w:r>
      <w:r>
        <w:rPr>
          <w:rFonts w:ascii="宋体" w:hAnsi="宋体" w:eastAsia="宋体"/>
          <w:szCs w:val="21"/>
        </w:rPr>
        <w:t>檔中所列主要</w:t>
      </w:r>
      <w:r>
        <w:rPr>
          <w:rFonts w:hint="eastAsia" w:ascii="宋体" w:hAnsi="宋体" w:eastAsia="宋体"/>
          <w:szCs w:val="21"/>
        </w:rPr>
        <w:t>服務</w:t>
      </w:r>
      <w:r>
        <w:rPr>
          <w:rFonts w:ascii="宋体" w:hAnsi="宋体" w:eastAsia="宋体"/>
          <w:szCs w:val="21"/>
        </w:rPr>
        <w:t>人員處於國鐵集團重大不良行為公佈期</w:t>
      </w:r>
      <w:r>
        <w:rPr>
          <w:rFonts w:hint="eastAsia" w:ascii="宋体" w:hAnsi="宋体" w:eastAsia="宋体"/>
          <w:szCs w:val="21"/>
        </w:rPr>
        <w:t>；</w:t>
      </w:r>
    </w:p>
    <w:p>
      <w:pPr>
        <w:adjustRightInd w:val="0"/>
        <w:snapToGrid w:val="0"/>
        <w:spacing w:line="400" w:lineRule="exact"/>
        <w:ind w:firstLine="420" w:firstLineChars="200"/>
        <w:rPr>
          <w:szCs w:val="21"/>
          <w:u w:val="single"/>
        </w:rPr>
      </w:pPr>
      <w:r>
        <w:rPr>
          <w:rFonts w:ascii="宋体" w:hAnsi="宋体" w:eastAsia="宋体"/>
          <w:szCs w:val="21"/>
        </w:rPr>
        <w:t>（</w:t>
      </w:r>
      <w:r>
        <w:rPr>
          <w:rFonts w:hint="eastAsia" w:ascii="宋体" w:hAnsi="宋体" w:eastAsia="宋体"/>
          <w:szCs w:val="21"/>
        </w:rPr>
        <w:t>9</w:t>
      </w:r>
      <w:r>
        <w:rPr>
          <w:rFonts w:ascii="宋体" w:hAnsi="宋体" w:eastAsia="宋体"/>
          <w:szCs w:val="21"/>
        </w:rPr>
        <w:t>）其他情形：</w:t>
      </w:r>
      <w:r>
        <w:rPr>
          <w:rFonts w:hint="eastAsia" w:ascii="宋体" w:hAnsi="宋体" w:eastAsia="宋体"/>
          <w:szCs w:val="21"/>
          <w:u w:val="single"/>
        </w:rPr>
        <w:t>/</w:t>
      </w:r>
      <w:r>
        <w:rPr>
          <w:rFonts w:hint="eastAsia" w:ascii="宋体" w:hAnsi="宋体" w:eastAsia="宋体"/>
          <w:szCs w:val="21"/>
        </w:rPr>
        <w:t>。</w:t>
      </w:r>
    </w:p>
    <w:p>
      <w:pPr>
        <w:pStyle w:val="11"/>
        <w:spacing w:before="120" w:beforeLines="50" w:after="120" w:afterLines="50"/>
        <w:rPr>
          <w:rFonts w:ascii="Times New Roman" w:hAnsi="Times New Roman" w:eastAsia="黑体" w:cs="Times New Roman"/>
          <w:b w:val="0"/>
          <w:bCs w:val="0"/>
          <w:color w:val="auto"/>
          <w:sz w:val="28"/>
        </w:rPr>
      </w:pPr>
      <w:bookmarkStart w:id="5" w:name="_Toc100227371"/>
      <w:r>
        <w:rPr>
          <w:rFonts w:ascii="Times New Roman" w:hAnsi="Times New Roman" w:eastAsia="宋体" w:cs="Times New Roman"/>
          <w:b w:val="0"/>
          <w:bCs w:val="0"/>
          <w:color w:val="auto"/>
          <w:sz w:val="28"/>
        </w:rPr>
        <w:t>4. 招標檔的獲取</w:t>
      </w:r>
      <w:bookmarkEnd w:id="5"/>
    </w:p>
    <w:p>
      <w:pPr>
        <w:spacing w:before="120" w:line="400" w:lineRule="exact"/>
        <w:ind w:left="420" w:firstLine="420"/>
        <w:outlineLvl w:val="0"/>
        <w:rPr>
          <w:szCs w:val="21"/>
        </w:rPr>
      </w:pPr>
      <w:bookmarkStart w:id="6" w:name="_Toc83633441"/>
      <w:bookmarkStart w:id="7" w:name="_Toc81579422"/>
      <w:bookmarkStart w:id="8" w:name="_Toc100227372"/>
      <w:bookmarkStart w:id="9" w:name="_Toc276714876"/>
      <w:bookmarkStart w:id="10" w:name="_Toc277917507"/>
      <w:r>
        <w:rPr>
          <w:rFonts w:ascii="宋体" w:hAnsi="宋体" w:eastAsia="宋体"/>
          <w:szCs w:val="21"/>
        </w:rPr>
        <w:t xml:space="preserve">4.1 </w:t>
      </w:r>
      <w:r>
        <w:rPr>
          <w:rFonts w:eastAsia="宋体"/>
          <w:szCs w:val="21"/>
        </w:rPr>
        <w:t>請投標人</w:t>
      </w:r>
      <w:r>
        <w:rPr>
          <w:rFonts w:ascii="宋体" w:hAnsi="宋体" w:eastAsia="宋体"/>
          <w:szCs w:val="21"/>
        </w:rPr>
        <w:t>於</w:t>
      </w:r>
      <w:r>
        <w:rPr>
          <w:rFonts w:ascii="宋体" w:hAnsi="宋体" w:eastAsia="宋体"/>
          <w:szCs w:val="21"/>
          <w:u w:val="single"/>
        </w:rPr>
        <w:t>2022</w:t>
      </w:r>
      <w:r>
        <w:rPr>
          <w:rFonts w:ascii="宋体" w:hAnsi="宋体" w:eastAsia="宋体"/>
          <w:szCs w:val="21"/>
        </w:rPr>
        <w:t>年</w:t>
      </w:r>
      <w:r>
        <w:rPr>
          <w:rFonts w:ascii="宋体" w:hAnsi="宋体" w:eastAsia="宋体"/>
          <w:szCs w:val="21"/>
          <w:u w:val="single"/>
        </w:rPr>
        <w:t>5</w:t>
      </w:r>
      <w:r>
        <w:rPr>
          <w:rFonts w:ascii="宋体" w:hAnsi="宋体" w:eastAsia="宋体"/>
          <w:szCs w:val="21"/>
        </w:rPr>
        <w:t>月</w:t>
      </w:r>
      <w:r>
        <w:rPr>
          <w:rFonts w:ascii="宋体" w:hAnsi="宋体" w:eastAsia="宋体"/>
          <w:szCs w:val="21"/>
          <w:u w:val="single"/>
        </w:rPr>
        <w:t>28</w:t>
      </w:r>
      <w:r>
        <w:rPr>
          <w:rFonts w:ascii="宋体" w:hAnsi="宋体" w:eastAsia="宋体"/>
          <w:szCs w:val="21"/>
        </w:rPr>
        <w:t>日</w:t>
      </w:r>
      <w:r>
        <w:rPr>
          <w:rFonts w:hint="eastAsia" w:ascii="宋体" w:hAnsi="宋体" w:eastAsia="宋体"/>
          <w:szCs w:val="21"/>
          <w:u w:val="single"/>
        </w:rPr>
        <w:t>9</w:t>
      </w:r>
      <w:r>
        <w:rPr>
          <w:rFonts w:hint="eastAsia" w:ascii="宋体" w:hAnsi="宋体" w:eastAsia="宋体"/>
          <w:szCs w:val="21"/>
        </w:rPr>
        <w:t>時</w:t>
      </w:r>
      <w:r>
        <w:rPr>
          <w:rFonts w:hint="eastAsia" w:ascii="宋体" w:hAnsi="宋体" w:eastAsia="宋体"/>
          <w:szCs w:val="21"/>
          <w:u w:val="single"/>
        </w:rPr>
        <w:t>00</w:t>
      </w:r>
      <w:r>
        <w:rPr>
          <w:rFonts w:hint="eastAsia" w:ascii="宋体" w:hAnsi="宋体" w:eastAsia="宋体"/>
          <w:szCs w:val="21"/>
        </w:rPr>
        <w:t>分至</w:t>
      </w:r>
      <w:r>
        <w:rPr>
          <w:rFonts w:ascii="宋体" w:hAnsi="宋体" w:eastAsia="宋体"/>
          <w:szCs w:val="21"/>
          <w:u w:val="single"/>
        </w:rPr>
        <w:t>2022</w:t>
      </w:r>
      <w:r>
        <w:rPr>
          <w:rFonts w:ascii="宋体" w:hAnsi="宋体" w:eastAsia="宋体"/>
          <w:szCs w:val="21"/>
        </w:rPr>
        <w:t>年</w:t>
      </w:r>
      <w:r>
        <w:rPr>
          <w:rFonts w:ascii="宋体" w:hAnsi="宋体" w:eastAsia="宋体"/>
          <w:szCs w:val="21"/>
          <w:u w:val="single"/>
        </w:rPr>
        <w:t>6</w:t>
      </w:r>
      <w:r>
        <w:rPr>
          <w:rFonts w:ascii="宋体" w:hAnsi="宋体" w:eastAsia="宋体"/>
          <w:szCs w:val="21"/>
        </w:rPr>
        <w:t>月</w:t>
      </w:r>
      <w:r>
        <w:rPr>
          <w:rFonts w:ascii="宋体" w:hAnsi="宋体" w:eastAsia="宋体"/>
          <w:szCs w:val="21"/>
          <w:u w:val="single"/>
        </w:rPr>
        <w:t>1</w:t>
      </w:r>
      <w:r>
        <w:rPr>
          <w:rFonts w:ascii="宋体" w:hAnsi="宋体" w:eastAsia="宋体"/>
          <w:szCs w:val="21"/>
        </w:rPr>
        <w:t>日</w:t>
      </w:r>
      <w:r>
        <w:rPr>
          <w:rFonts w:hint="eastAsia" w:ascii="宋体" w:hAnsi="宋体" w:eastAsia="宋体"/>
          <w:szCs w:val="21"/>
          <w:u w:val="single"/>
        </w:rPr>
        <w:t>16</w:t>
      </w:r>
      <w:r>
        <w:rPr>
          <w:rFonts w:hint="eastAsia" w:ascii="宋体" w:hAnsi="宋体" w:eastAsia="宋体"/>
          <w:szCs w:val="21"/>
        </w:rPr>
        <w:t>時</w:t>
      </w:r>
      <w:r>
        <w:rPr>
          <w:rFonts w:hint="eastAsia" w:ascii="宋体" w:hAnsi="宋体" w:eastAsia="宋体"/>
          <w:szCs w:val="21"/>
          <w:u w:val="single"/>
        </w:rPr>
        <w:t>00</w:t>
      </w:r>
      <w:r>
        <w:rPr>
          <w:rFonts w:hint="eastAsia" w:ascii="宋体" w:hAnsi="宋体" w:eastAsia="宋体"/>
          <w:szCs w:val="21"/>
        </w:rPr>
        <w:t>分</w:t>
      </w:r>
      <w:r>
        <w:rPr>
          <w:rFonts w:ascii="宋体" w:hAnsi="宋体" w:eastAsia="宋体"/>
          <w:szCs w:val="21"/>
        </w:rPr>
        <w:t>（北京時間，下同）</w:t>
      </w:r>
      <w:r>
        <w:rPr>
          <w:rFonts w:hint="eastAsia" w:ascii="宋体" w:hAnsi="宋体" w:eastAsia="宋体"/>
          <w:szCs w:val="21"/>
        </w:rPr>
        <w:t>，登錄廣州公共資源交易中心網站</w:t>
      </w:r>
      <w:r>
        <w:rPr>
          <w:rFonts w:ascii="宋体" w:hAnsi="宋体" w:eastAsia="宋体"/>
          <w:szCs w:val="21"/>
        </w:rPr>
        <w:t>（http://www.gzggzy.cn/）</w:t>
      </w:r>
      <w:r>
        <w:rPr>
          <w:rFonts w:eastAsia="宋体"/>
          <w:szCs w:val="21"/>
        </w:rPr>
        <w:t>下載電子招標檔。</w:t>
      </w:r>
      <w:bookmarkEnd w:id="6"/>
      <w:bookmarkEnd w:id="7"/>
      <w:bookmarkEnd w:id="8"/>
    </w:p>
    <w:p>
      <w:pPr>
        <w:spacing w:before="120" w:line="400" w:lineRule="exact"/>
        <w:ind w:left="420" w:firstLine="420"/>
        <w:rPr>
          <w:rFonts w:ascii="宋体" w:hAnsi="宋体"/>
          <w:szCs w:val="21"/>
        </w:rPr>
      </w:pPr>
      <w:r>
        <w:rPr>
          <w:rFonts w:hint="eastAsia" w:eastAsia="宋体"/>
        </w:rPr>
        <w:t>下載電子招標檔需要說明的有關事宜具體為：通過廣州公共資源交易中心網上進行單位相關資訊錄入登記，同時將匯款憑證的彩色蓋章掃描件發送到crmscgz03@163.com，此為獲取招標檔確認的重要依據。登記成功並經確認後，通過廣州公共資源交易中心網站（http://www.gzggzy.cn/）下載招標檔等資料。投標人在購買招標檔前應先在廣州公共資源交易中心辦理企業資訊登記及電子簽章，辦理詳情參見廣州公共資源交易網站（http://www.gzggzy.cn）服務指南欄目。</w:t>
      </w:r>
    </w:p>
    <w:p>
      <w:pPr>
        <w:spacing w:before="120" w:line="400" w:lineRule="exact"/>
        <w:ind w:left="420" w:firstLine="420"/>
        <w:rPr>
          <w:rFonts w:ascii="宋体" w:hAnsi="宋体"/>
          <w:szCs w:val="21"/>
        </w:rPr>
      </w:pPr>
      <w:r>
        <w:rPr>
          <w:rFonts w:hint="eastAsia" w:ascii="宋体" w:hAnsi="宋体" w:eastAsia="宋体"/>
          <w:szCs w:val="21"/>
        </w:rPr>
        <w:t>4.2招標檔每個標段售價500元人民幣，售後不退。投標人須在購買招標檔前將招標檔款電匯、網匯（不接受個人匯款）至下述指定帳號，同時須在匯款單據上注明招標編號及購買標段號。投標人擬申請多個標段的，必須分別購買多個標段的招標檔。</w:t>
      </w:r>
    </w:p>
    <w:p>
      <w:pPr>
        <w:spacing w:before="120" w:line="400" w:lineRule="exact"/>
        <w:ind w:left="420" w:firstLine="420"/>
        <w:rPr>
          <w:rFonts w:ascii="宋体" w:hAnsi="宋体"/>
          <w:szCs w:val="21"/>
        </w:rPr>
      </w:pPr>
      <w:r>
        <w:rPr>
          <w:rFonts w:hint="eastAsia" w:ascii="宋体" w:hAnsi="宋体" w:eastAsia="宋体"/>
          <w:b/>
          <w:szCs w:val="21"/>
        </w:rPr>
        <w:t>招標檔發票獲取：</w:t>
      </w:r>
      <w:r>
        <w:rPr>
          <w:rFonts w:ascii="宋体" w:hAnsi="宋体" w:eastAsia="宋体"/>
          <w:b/>
          <w:szCs w:val="21"/>
        </w:rPr>
        <w:t>投標人</w:t>
      </w:r>
      <w:r>
        <w:rPr>
          <w:rFonts w:hint="eastAsia" w:ascii="宋体" w:hAnsi="宋体" w:eastAsia="宋体"/>
          <w:b/>
          <w:szCs w:val="21"/>
        </w:rPr>
        <w:t>購買招標檔前須在中國鐵物電子招投標平臺（</w:t>
      </w:r>
      <w:r>
        <w:rPr>
          <w:rFonts w:ascii="宋体" w:hAnsi="宋体" w:eastAsia="宋体"/>
          <w:b/>
          <w:szCs w:val="21"/>
        </w:rPr>
        <w:t>http://www.bidding-crmsc.com.cn</w:t>
      </w:r>
      <w:r>
        <w:rPr>
          <w:rFonts w:hint="eastAsia" w:ascii="宋体" w:hAnsi="宋体" w:eastAsia="宋体"/>
          <w:b/>
          <w:szCs w:val="21"/>
        </w:rPr>
        <w:t>）完成註冊。</w:t>
      </w:r>
      <w:r>
        <w:rPr>
          <w:rFonts w:hint="eastAsia" w:ascii="宋体" w:hAnsi="宋体" w:eastAsia="宋体"/>
          <w:szCs w:val="21"/>
        </w:rPr>
        <w:t>註冊審核通過後，招標代理將按照“系統管理”公司資訊中供應商錄入的開票資訊開具標書款發票（供應商須及時更新公司資訊），待開具成功後，</w:t>
      </w:r>
      <w:r>
        <w:rPr>
          <w:rFonts w:ascii="宋体" w:hAnsi="宋体" w:eastAsia="宋体"/>
          <w:szCs w:val="21"/>
        </w:rPr>
        <w:t>投標人</w:t>
      </w:r>
      <w:r>
        <w:rPr>
          <w:rFonts w:hint="eastAsia" w:ascii="宋体" w:hAnsi="宋体" w:eastAsia="宋体"/>
          <w:szCs w:val="21"/>
        </w:rPr>
        <w:t>通過“投標管理”中“電票下載”自行下載標書款發票。詳細步驟請參考登錄頁面的《使用手冊》。</w:t>
      </w:r>
    </w:p>
    <w:bookmarkEnd w:id="9"/>
    <w:bookmarkEnd w:id="10"/>
    <w:p>
      <w:pPr>
        <w:spacing w:before="120" w:line="400" w:lineRule="exact"/>
        <w:ind w:left="420" w:firstLine="422"/>
        <w:rPr>
          <w:rFonts w:ascii="宋体" w:hAnsi="宋体"/>
          <w:b/>
          <w:szCs w:val="21"/>
        </w:rPr>
      </w:pPr>
      <w:r>
        <w:rPr>
          <w:rFonts w:hint="eastAsia" w:ascii="宋体" w:hAnsi="宋体" w:eastAsia="宋体"/>
          <w:b/>
          <w:szCs w:val="21"/>
        </w:rPr>
        <w:t>招標代理帳號：</w:t>
      </w:r>
    </w:p>
    <w:p>
      <w:pPr>
        <w:spacing w:before="120" w:line="400" w:lineRule="exact"/>
        <w:ind w:left="420" w:firstLine="420"/>
        <w:rPr>
          <w:rFonts w:ascii="宋体" w:hAnsi="宋体"/>
          <w:szCs w:val="21"/>
        </w:rPr>
      </w:pPr>
      <w:r>
        <w:rPr>
          <w:rFonts w:hint="eastAsia" w:ascii="宋体" w:hAnsi="宋体" w:eastAsia="宋体"/>
          <w:szCs w:val="21"/>
        </w:rPr>
        <w:t>開戶銀行：</w:t>
      </w:r>
      <w:r>
        <w:rPr>
          <w:rFonts w:hint="eastAsia" w:ascii="宋体" w:hAnsi="宋体" w:eastAsia="宋体"/>
          <w:szCs w:val="21"/>
          <w:shd w:val="clear" w:color="auto" w:fill="FFFFFF"/>
        </w:rPr>
        <w:t>交通銀行北京西單支行</w:t>
      </w:r>
    </w:p>
    <w:p>
      <w:pPr>
        <w:spacing w:before="120" w:line="400" w:lineRule="exact"/>
        <w:ind w:left="420" w:firstLine="420"/>
        <w:rPr>
          <w:rFonts w:ascii="宋体" w:hAnsi="宋体"/>
          <w:szCs w:val="21"/>
        </w:rPr>
      </w:pPr>
      <w:r>
        <w:rPr>
          <w:rFonts w:hint="eastAsia" w:ascii="宋体" w:hAnsi="宋体" w:eastAsia="宋体"/>
          <w:szCs w:val="21"/>
        </w:rPr>
        <w:t>開戶名稱：中鐵物總國際招標有限公司</w:t>
      </w:r>
    </w:p>
    <w:p>
      <w:pPr>
        <w:spacing w:before="120" w:line="480" w:lineRule="auto"/>
        <w:ind w:left="420" w:firstLine="420"/>
        <w:rPr>
          <w:rFonts w:ascii="宋体" w:hAnsi="宋体"/>
          <w:sz w:val="22"/>
          <w:szCs w:val="21"/>
        </w:rPr>
      </w:pPr>
      <w:r>
        <w:rPr>
          <w:rFonts w:hint="eastAsia" w:ascii="宋体" w:hAnsi="宋体" w:eastAsia="宋体"/>
          <w:szCs w:val="21"/>
        </w:rPr>
        <w:t>帳號：</w:t>
      </w:r>
      <w:bookmarkStart w:id="11" w:name="_Toc470694709"/>
      <w:bookmarkStart w:id="12" w:name="_Toc466420076"/>
      <w:bookmarkStart w:id="13" w:name="_Toc471676972"/>
      <w:bookmarkStart w:id="14" w:name="_Toc476160813"/>
      <w:bookmarkStart w:id="15" w:name="_Toc453463120"/>
      <w:r>
        <w:rPr>
          <w:rFonts w:hint="eastAsia" w:ascii="宋体" w:hAnsi="宋体" w:eastAsia="宋体"/>
          <w:sz w:val="22"/>
          <w:szCs w:val="21"/>
        </w:rPr>
        <w:t>7005007</w:t>
      </w:r>
    </w:p>
    <w:p>
      <w:pPr>
        <w:spacing w:before="120" w:line="480" w:lineRule="auto"/>
        <w:ind w:left="420" w:firstLine="420"/>
        <w:rPr>
          <w:rFonts w:ascii="宋体" w:hAnsi="宋体"/>
          <w:szCs w:val="21"/>
        </w:rPr>
      </w:pPr>
      <w:r>
        <w:rPr>
          <w:rFonts w:hint="eastAsia" w:ascii="宋体" w:hAnsi="宋体" w:eastAsia="宋体"/>
          <w:szCs w:val="21"/>
        </w:rPr>
        <w:t>4.3本次招標檔獲取僅採用網上形式，不採用現場發售、郵購等方式進行。</w:t>
      </w:r>
      <w:bookmarkEnd w:id="11"/>
      <w:bookmarkEnd w:id="12"/>
      <w:bookmarkEnd w:id="13"/>
      <w:bookmarkEnd w:id="14"/>
      <w:bookmarkEnd w:id="15"/>
    </w:p>
    <w:p>
      <w:pPr>
        <w:spacing w:before="120" w:line="480" w:lineRule="auto"/>
        <w:ind w:left="420" w:firstLine="420"/>
        <w:rPr>
          <w:rFonts w:ascii="宋体" w:hAnsi="宋体"/>
          <w:szCs w:val="21"/>
        </w:rPr>
      </w:pPr>
      <w:r>
        <w:rPr>
          <w:rFonts w:hint="eastAsia" w:ascii="宋体" w:hAnsi="宋体" w:eastAsia="宋体"/>
          <w:szCs w:val="21"/>
        </w:rPr>
        <w:t>4</w:t>
      </w:r>
      <w:r>
        <w:rPr>
          <w:rFonts w:ascii="宋体" w:hAnsi="宋体" w:eastAsia="宋体"/>
          <w:szCs w:val="21"/>
        </w:rPr>
        <w:t>.4</w:t>
      </w:r>
      <w:r>
        <w:rPr>
          <w:rFonts w:hint="eastAsia" w:ascii="宋体" w:hAnsi="宋体" w:eastAsia="宋体"/>
          <w:szCs w:val="21"/>
        </w:rPr>
        <w:t>原已購買招標檔的投標人，如繼續參加本次投標，請於本次招標檔發售時間內，進行線上購買招標檔，並根據招標公告4.1要求將資料發送至招標代理郵箱，無須再次繳納標書款費用，免費更換招標檔。</w:t>
      </w:r>
    </w:p>
    <w:p>
      <w:pPr>
        <w:spacing w:before="120" w:line="480" w:lineRule="auto"/>
        <w:ind w:left="420" w:firstLine="420"/>
        <w:rPr>
          <w:rFonts w:ascii="宋体" w:hAnsi="宋体"/>
          <w:szCs w:val="21"/>
        </w:rPr>
      </w:pPr>
    </w:p>
    <w:p>
      <w:pPr>
        <w:pStyle w:val="11"/>
        <w:spacing w:before="120" w:beforeLines="50" w:after="120" w:afterLines="50" w:line="480" w:lineRule="auto"/>
        <w:rPr>
          <w:rFonts w:ascii="Times New Roman" w:hAnsi="Times New Roman" w:eastAsia="黑体" w:cs="Times New Roman"/>
          <w:b w:val="0"/>
          <w:bCs w:val="0"/>
          <w:color w:val="auto"/>
          <w:sz w:val="28"/>
        </w:rPr>
      </w:pPr>
      <w:bookmarkStart w:id="16" w:name="_Toc100227373"/>
      <w:r>
        <w:rPr>
          <w:rFonts w:ascii="Times New Roman" w:hAnsi="Times New Roman" w:eastAsia="宋体" w:cs="Times New Roman"/>
          <w:b w:val="0"/>
          <w:bCs w:val="0"/>
          <w:color w:val="auto"/>
          <w:sz w:val="28"/>
        </w:rPr>
        <w:t>5. 投標檔的遞交</w:t>
      </w:r>
      <w:bookmarkEnd w:id="16"/>
    </w:p>
    <w:p>
      <w:pPr>
        <w:spacing w:before="120" w:line="480" w:lineRule="auto"/>
        <w:ind w:left="420" w:firstLine="420"/>
        <w:jc w:val="left"/>
        <w:outlineLvl w:val="0"/>
        <w:rPr>
          <w:rFonts w:ascii="宋体" w:hAnsi="宋体"/>
          <w:szCs w:val="21"/>
        </w:rPr>
      </w:pPr>
      <w:bookmarkStart w:id="17" w:name="_Toc53584092"/>
      <w:bookmarkStart w:id="18" w:name="_Toc53589647"/>
      <w:bookmarkStart w:id="19" w:name="_Toc83633443"/>
      <w:bookmarkStart w:id="20" w:name="_Toc81579424"/>
      <w:bookmarkStart w:id="21" w:name="_Toc100227374"/>
      <w:r>
        <w:rPr>
          <w:rFonts w:ascii="宋体" w:hAnsi="宋体" w:eastAsia="宋体"/>
          <w:szCs w:val="21"/>
        </w:rPr>
        <w:t>5.1 投標檔</w:t>
      </w:r>
      <w:r>
        <w:rPr>
          <w:rFonts w:eastAsia="宋体"/>
          <w:szCs w:val="21"/>
        </w:rPr>
        <w:t>提交</w:t>
      </w:r>
      <w:r>
        <w:rPr>
          <w:rFonts w:ascii="宋体" w:hAnsi="宋体" w:eastAsia="宋体"/>
          <w:szCs w:val="21"/>
        </w:rPr>
        <w:t>的時間為</w:t>
      </w:r>
      <w:r>
        <w:rPr>
          <w:rFonts w:ascii="宋体" w:hAnsi="宋体" w:eastAsia="宋体"/>
          <w:szCs w:val="21"/>
          <w:u w:val="single"/>
        </w:rPr>
        <w:t>2022</w:t>
      </w:r>
      <w:r>
        <w:rPr>
          <w:rFonts w:ascii="宋体" w:hAnsi="宋体" w:eastAsia="宋体"/>
          <w:szCs w:val="21"/>
        </w:rPr>
        <w:t>年</w:t>
      </w:r>
      <w:r>
        <w:rPr>
          <w:rFonts w:ascii="宋体" w:hAnsi="宋体" w:eastAsia="宋体"/>
          <w:szCs w:val="21"/>
          <w:u w:val="single"/>
        </w:rPr>
        <w:t>6</w:t>
      </w:r>
      <w:r>
        <w:rPr>
          <w:rFonts w:ascii="宋体" w:hAnsi="宋体" w:eastAsia="宋体"/>
          <w:szCs w:val="21"/>
        </w:rPr>
        <w:t>月</w:t>
      </w:r>
      <w:r>
        <w:rPr>
          <w:rFonts w:ascii="宋体" w:hAnsi="宋体" w:eastAsia="宋体"/>
          <w:szCs w:val="21"/>
          <w:u w:val="single"/>
        </w:rPr>
        <w:t>22</w:t>
      </w:r>
      <w:r>
        <w:rPr>
          <w:rFonts w:ascii="宋体" w:hAnsi="宋体" w:eastAsia="宋体"/>
          <w:szCs w:val="21"/>
        </w:rPr>
        <w:t>日</w:t>
      </w:r>
      <w:r>
        <w:rPr>
          <w:rFonts w:hint="eastAsia" w:ascii="宋体" w:hAnsi="宋体" w:eastAsia="宋体"/>
          <w:szCs w:val="21"/>
          <w:u w:val="single"/>
        </w:rPr>
        <w:t xml:space="preserve"> 09 </w:t>
      </w:r>
      <w:r>
        <w:rPr>
          <w:rFonts w:ascii="宋体" w:hAnsi="宋体" w:eastAsia="宋体"/>
          <w:szCs w:val="21"/>
        </w:rPr>
        <w:t>時</w:t>
      </w:r>
      <w:r>
        <w:rPr>
          <w:rFonts w:hint="eastAsia" w:ascii="宋体" w:hAnsi="宋体" w:eastAsia="宋体"/>
          <w:szCs w:val="21"/>
          <w:u w:val="single"/>
        </w:rPr>
        <w:t>00</w:t>
      </w:r>
      <w:r>
        <w:rPr>
          <w:rFonts w:ascii="宋体" w:hAnsi="宋体" w:eastAsia="宋体"/>
          <w:szCs w:val="21"/>
        </w:rPr>
        <w:t>分至</w:t>
      </w:r>
      <w:r>
        <w:rPr>
          <w:rFonts w:ascii="宋体" w:hAnsi="宋体" w:eastAsia="宋体"/>
          <w:szCs w:val="21"/>
          <w:u w:val="single"/>
        </w:rPr>
        <w:t>2022</w:t>
      </w:r>
      <w:r>
        <w:rPr>
          <w:rFonts w:ascii="宋体" w:hAnsi="宋体" w:eastAsia="宋体"/>
          <w:szCs w:val="21"/>
        </w:rPr>
        <w:t>年</w:t>
      </w:r>
      <w:r>
        <w:rPr>
          <w:rFonts w:ascii="宋体" w:hAnsi="宋体" w:eastAsia="宋体"/>
          <w:szCs w:val="21"/>
          <w:u w:val="single"/>
        </w:rPr>
        <w:t>6</w:t>
      </w:r>
      <w:r>
        <w:rPr>
          <w:rFonts w:ascii="宋体" w:hAnsi="宋体" w:eastAsia="宋体"/>
          <w:szCs w:val="21"/>
        </w:rPr>
        <w:t>月</w:t>
      </w:r>
      <w:r>
        <w:rPr>
          <w:rFonts w:ascii="宋体" w:hAnsi="宋体" w:eastAsia="宋体"/>
          <w:szCs w:val="21"/>
          <w:u w:val="single"/>
        </w:rPr>
        <w:t>22</w:t>
      </w:r>
      <w:r>
        <w:rPr>
          <w:rFonts w:ascii="宋体" w:hAnsi="宋体" w:eastAsia="宋体"/>
          <w:szCs w:val="21"/>
        </w:rPr>
        <w:t>日</w:t>
      </w:r>
      <w:r>
        <w:rPr>
          <w:rFonts w:hint="eastAsia" w:ascii="宋体" w:hAnsi="宋体" w:eastAsia="宋体"/>
          <w:szCs w:val="21"/>
          <w:u w:val="single"/>
        </w:rPr>
        <w:t>10</w:t>
      </w:r>
      <w:r>
        <w:rPr>
          <w:rFonts w:ascii="宋体" w:hAnsi="宋体" w:eastAsia="宋体"/>
          <w:szCs w:val="21"/>
        </w:rPr>
        <w:t>時</w:t>
      </w:r>
      <w:r>
        <w:rPr>
          <w:rFonts w:hint="eastAsia" w:ascii="宋体" w:hAnsi="宋体" w:eastAsia="宋体"/>
          <w:szCs w:val="21"/>
          <w:u w:val="single"/>
        </w:rPr>
        <w:t>00</w:t>
      </w:r>
      <w:r>
        <w:rPr>
          <w:rFonts w:ascii="宋体" w:hAnsi="宋体" w:eastAsia="宋体"/>
          <w:szCs w:val="21"/>
        </w:rPr>
        <w:t>分，</w:t>
      </w:r>
      <w:r>
        <w:rPr>
          <w:rFonts w:eastAsia="宋体"/>
          <w:szCs w:val="21"/>
        </w:rPr>
        <w:t>截止時間</w:t>
      </w:r>
      <w:r>
        <w:rPr>
          <w:rFonts w:eastAsia="宋体"/>
        </w:rPr>
        <w:t>（投標截止時間，下同）</w:t>
      </w:r>
      <w:r>
        <w:rPr>
          <w:rFonts w:ascii="宋体" w:hAnsi="宋体" w:eastAsia="宋体"/>
          <w:szCs w:val="21"/>
        </w:rPr>
        <w:t>為</w:t>
      </w:r>
      <w:r>
        <w:rPr>
          <w:rFonts w:ascii="宋体" w:hAnsi="宋体" w:eastAsia="宋体"/>
          <w:szCs w:val="21"/>
          <w:u w:val="single"/>
        </w:rPr>
        <w:t xml:space="preserve"> 2022</w:t>
      </w:r>
      <w:r>
        <w:rPr>
          <w:rFonts w:ascii="宋体" w:hAnsi="宋体" w:eastAsia="宋体"/>
          <w:szCs w:val="21"/>
        </w:rPr>
        <w:t>年</w:t>
      </w:r>
      <w:r>
        <w:rPr>
          <w:rFonts w:ascii="宋体" w:hAnsi="宋体" w:eastAsia="宋体"/>
          <w:szCs w:val="21"/>
          <w:u w:val="single"/>
        </w:rPr>
        <w:t>6</w:t>
      </w:r>
      <w:r>
        <w:rPr>
          <w:rFonts w:ascii="宋体" w:hAnsi="宋体" w:eastAsia="宋体"/>
          <w:szCs w:val="21"/>
        </w:rPr>
        <w:t>月</w:t>
      </w:r>
      <w:r>
        <w:rPr>
          <w:rFonts w:ascii="宋体" w:hAnsi="宋体" w:eastAsia="宋体"/>
          <w:szCs w:val="21"/>
          <w:u w:val="single"/>
        </w:rPr>
        <w:t>22</w:t>
      </w:r>
      <w:r>
        <w:rPr>
          <w:rFonts w:ascii="宋体" w:hAnsi="宋体" w:eastAsia="宋体"/>
          <w:szCs w:val="21"/>
        </w:rPr>
        <w:t>日</w:t>
      </w:r>
      <w:r>
        <w:rPr>
          <w:rFonts w:hint="eastAsia" w:ascii="宋体" w:hAnsi="宋体" w:eastAsia="宋体"/>
          <w:szCs w:val="21"/>
          <w:u w:val="single"/>
        </w:rPr>
        <w:t>10</w:t>
      </w:r>
      <w:r>
        <w:rPr>
          <w:rFonts w:ascii="宋体" w:hAnsi="宋体" w:eastAsia="宋体"/>
          <w:szCs w:val="21"/>
        </w:rPr>
        <w:t>時</w:t>
      </w:r>
      <w:r>
        <w:rPr>
          <w:rFonts w:hint="eastAsia" w:ascii="宋体" w:hAnsi="宋体" w:eastAsia="宋体"/>
          <w:szCs w:val="21"/>
          <w:u w:val="single"/>
        </w:rPr>
        <w:t>00</w:t>
      </w:r>
      <w:r>
        <w:rPr>
          <w:rFonts w:ascii="宋体" w:hAnsi="宋体" w:eastAsia="宋体"/>
          <w:szCs w:val="21"/>
        </w:rPr>
        <w:t>分</w:t>
      </w:r>
      <w:bookmarkEnd w:id="17"/>
      <w:bookmarkEnd w:id="18"/>
      <w:r>
        <w:rPr>
          <w:rFonts w:hint="eastAsia" w:ascii="宋体" w:hAnsi="宋体" w:eastAsia="宋体"/>
          <w:szCs w:val="21"/>
        </w:rPr>
        <w:t>，</w:t>
      </w:r>
      <w:r>
        <w:rPr>
          <w:rFonts w:eastAsia="宋体"/>
          <w:szCs w:val="21"/>
        </w:rPr>
        <w:t>投標人應在投標截止時間前通過</w:t>
      </w:r>
      <w:r>
        <w:rPr>
          <w:rFonts w:hint="eastAsia" w:ascii="宋体" w:hAnsi="宋体" w:eastAsia="宋体"/>
          <w:szCs w:val="21"/>
        </w:rPr>
        <w:t>廣州公共資源交易中心網站</w:t>
      </w:r>
      <w:r>
        <w:rPr>
          <w:rFonts w:ascii="宋体" w:hAnsi="宋体" w:eastAsia="宋体"/>
          <w:szCs w:val="21"/>
        </w:rPr>
        <w:t>（http://www.gzggzy.cn/）</w:t>
      </w:r>
      <w:r>
        <w:rPr>
          <w:rFonts w:eastAsia="宋体"/>
          <w:szCs w:val="21"/>
        </w:rPr>
        <w:t>遞交電子投標檔。</w:t>
      </w:r>
      <w:bookmarkEnd w:id="19"/>
      <w:bookmarkEnd w:id="20"/>
      <w:bookmarkEnd w:id="21"/>
    </w:p>
    <w:p>
      <w:pPr>
        <w:spacing w:before="120" w:line="480" w:lineRule="auto"/>
        <w:ind w:left="420" w:firstLine="420"/>
        <w:rPr>
          <w:rFonts w:ascii="宋体" w:hAnsi="宋体"/>
          <w:szCs w:val="21"/>
        </w:rPr>
      </w:pPr>
      <w:r>
        <w:rPr>
          <w:rFonts w:hint="eastAsia" w:ascii="宋体" w:hAnsi="宋体" w:eastAsia="宋体"/>
          <w:szCs w:val="21"/>
        </w:rPr>
        <w:t>5</w:t>
      </w:r>
      <w:r>
        <w:rPr>
          <w:rFonts w:ascii="宋体" w:hAnsi="宋体" w:eastAsia="宋体"/>
          <w:szCs w:val="21"/>
        </w:rPr>
        <w:t>.</w:t>
      </w:r>
      <w:r>
        <w:rPr>
          <w:rFonts w:hint="eastAsia" w:ascii="宋体" w:hAnsi="宋体" w:eastAsia="宋体"/>
          <w:szCs w:val="21"/>
        </w:rPr>
        <w:t>2</w:t>
      </w:r>
      <w:r>
        <w:rPr>
          <w:rFonts w:eastAsia="宋体"/>
          <w:szCs w:val="21"/>
        </w:rPr>
        <w:t>逾期提交的或未按照招標檔要求加密的電子投標檔，招標人（電子招標投標交易平臺）將予以拒收。</w:t>
      </w:r>
    </w:p>
    <w:p>
      <w:pPr>
        <w:spacing w:before="120" w:line="480" w:lineRule="auto"/>
        <w:ind w:left="420" w:firstLine="420"/>
        <w:rPr>
          <w:rFonts w:ascii="宋体" w:hAnsi="宋体"/>
          <w:szCs w:val="21"/>
        </w:rPr>
      </w:pPr>
      <w:r>
        <w:rPr>
          <w:rFonts w:hint="eastAsia" w:ascii="宋体" w:hAnsi="宋体" w:eastAsia="宋体"/>
          <w:szCs w:val="21"/>
        </w:rPr>
        <w:t>5</w:t>
      </w:r>
      <w:r>
        <w:rPr>
          <w:rFonts w:ascii="宋体" w:hAnsi="宋体" w:eastAsia="宋体"/>
          <w:szCs w:val="21"/>
        </w:rPr>
        <w:t>.</w:t>
      </w:r>
      <w:r>
        <w:rPr>
          <w:rFonts w:hint="eastAsia" w:ascii="宋体" w:hAnsi="宋体" w:eastAsia="宋体"/>
          <w:szCs w:val="21"/>
        </w:rPr>
        <w:t>3紙質投標保函原件（或紙質版銀行匯款底單）和含電子投標檔的</w:t>
      </w:r>
      <w:r>
        <w:rPr>
          <w:rFonts w:ascii="宋体" w:hAnsi="宋体" w:eastAsia="宋体"/>
          <w:szCs w:val="21"/>
        </w:rPr>
        <w:t>U</w:t>
      </w:r>
      <w:r>
        <w:rPr>
          <w:rFonts w:hint="eastAsia" w:ascii="宋体" w:hAnsi="宋体" w:eastAsia="宋体"/>
          <w:szCs w:val="21"/>
        </w:rPr>
        <w:t>盤等資料採用現場遞交方式，遞交地點：廣州公共資源交易中心（地址：廣州市天河區天潤路</w:t>
      </w:r>
      <w:r>
        <w:rPr>
          <w:rFonts w:ascii="宋体" w:hAnsi="宋体" w:eastAsia="宋体"/>
          <w:szCs w:val="21"/>
        </w:rPr>
        <w:t>333</w:t>
      </w:r>
      <w:r>
        <w:rPr>
          <w:rFonts w:hint="eastAsia" w:ascii="宋体" w:hAnsi="宋体" w:eastAsia="宋体"/>
          <w:szCs w:val="21"/>
        </w:rPr>
        <w:t>號）。</w:t>
      </w:r>
    </w:p>
    <w:p>
      <w:pPr>
        <w:pStyle w:val="11"/>
        <w:spacing w:before="120" w:beforeLines="50" w:after="120" w:afterLines="50" w:line="480" w:lineRule="auto"/>
        <w:rPr>
          <w:rFonts w:ascii="Times New Roman" w:hAnsi="Times New Roman" w:eastAsia="黑体" w:cs="Times New Roman"/>
          <w:b w:val="0"/>
          <w:bCs w:val="0"/>
          <w:color w:val="auto"/>
          <w:sz w:val="28"/>
        </w:rPr>
      </w:pPr>
      <w:bookmarkStart w:id="22" w:name="_Toc100227375"/>
      <w:r>
        <w:rPr>
          <w:rFonts w:ascii="Times New Roman" w:hAnsi="Times New Roman" w:eastAsia="宋体" w:cs="Times New Roman"/>
          <w:b w:val="0"/>
          <w:bCs w:val="0"/>
          <w:color w:val="auto"/>
          <w:sz w:val="28"/>
        </w:rPr>
        <w:t>6. 發佈公告的媒介</w:t>
      </w:r>
      <w:bookmarkEnd w:id="22"/>
    </w:p>
    <w:p>
      <w:pPr>
        <w:spacing w:before="120" w:line="480" w:lineRule="auto"/>
        <w:ind w:left="420" w:firstLine="420"/>
        <w:rPr>
          <w:rFonts w:ascii="宋体" w:hAnsi="宋体"/>
          <w:szCs w:val="21"/>
        </w:rPr>
      </w:pPr>
      <w:r>
        <w:rPr>
          <w:rFonts w:hint="eastAsia" w:ascii="宋体" w:hAnsi="宋体" w:eastAsia="宋体"/>
          <w:szCs w:val="21"/>
        </w:rPr>
        <w:t>本次招標公告同時在廣州公共資源交易中心網、</w:t>
      </w:r>
      <w:r>
        <w:rPr>
          <w:rFonts w:hint="eastAsia" w:ascii="宋体" w:hAnsi="宋体" w:eastAsia="宋体" w:cs="宋体"/>
          <w:szCs w:val="21"/>
        </w:rPr>
        <w:t>中國招標投標公共服務平臺、</w:t>
      </w:r>
      <w:r>
        <w:rPr>
          <w:rFonts w:hint="eastAsia" w:ascii="宋体" w:hAnsi="宋体" w:eastAsia="宋体"/>
          <w:szCs w:val="21"/>
        </w:rPr>
        <w:t>國鐵採購平臺上發佈，本公告的修改、補充，在廣州公共資源交易中心網站發佈。本公告在各媒體發佈的文本如有不同之處，以在廣州公共資源交易中心網站發佈的文本為准</w:t>
      </w:r>
      <w:r>
        <w:rPr>
          <w:rFonts w:ascii="宋体" w:hAnsi="宋体" w:eastAsia="宋体"/>
          <w:szCs w:val="21"/>
        </w:rPr>
        <w:t>。</w:t>
      </w:r>
      <w:bookmarkStart w:id="23" w:name="_Toc100227376"/>
    </w:p>
    <w:p>
      <w:pPr>
        <w:pStyle w:val="11"/>
        <w:spacing w:before="120" w:beforeLines="50" w:after="120" w:afterLines="50" w:line="480" w:lineRule="auto"/>
        <w:rPr>
          <w:rFonts w:ascii="Times New Roman" w:hAnsi="Times New Roman" w:eastAsia="黑体" w:cs="Times New Roman"/>
          <w:b w:val="0"/>
          <w:bCs w:val="0"/>
          <w:color w:val="auto"/>
          <w:sz w:val="28"/>
        </w:rPr>
      </w:pPr>
      <w:r>
        <w:rPr>
          <w:rFonts w:ascii="Times New Roman" w:hAnsi="Times New Roman" w:eastAsia="宋体" w:cs="Times New Roman"/>
          <w:b w:val="0"/>
          <w:bCs w:val="0"/>
          <w:color w:val="auto"/>
          <w:sz w:val="28"/>
        </w:rPr>
        <w:t>7. 聯繫方式</w:t>
      </w:r>
      <w:bookmarkEnd w:id="23"/>
    </w:p>
    <w:tbl>
      <w:tblPr>
        <w:tblStyle w:val="5"/>
        <w:tblW w:w="0" w:type="auto"/>
        <w:tblInd w:w="0" w:type="dxa"/>
        <w:tblLayout w:type="fixed"/>
        <w:tblCellMar>
          <w:top w:w="0" w:type="dxa"/>
          <w:left w:w="108" w:type="dxa"/>
          <w:bottom w:w="0" w:type="dxa"/>
          <w:right w:w="108" w:type="dxa"/>
        </w:tblCellMar>
      </w:tblPr>
      <w:tblGrid>
        <w:gridCol w:w="2093"/>
        <w:gridCol w:w="5670"/>
      </w:tblGrid>
      <w:tr>
        <w:tblPrEx>
          <w:tblCellMar>
            <w:top w:w="0" w:type="dxa"/>
            <w:left w:w="108" w:type="dxa"/>
            <w:bottom w:w="0" w:type="dxa"/>
            <w:right w:w="108" w:type="dxa"/>
          </w:tblCellMar>
        </w:tblPrEx>
        <w:tc>
          <w:tcPr>
            <w:tcW w:w="2093" w:type="dxa"/>
          </w:tcPr>
          <w:p>
            <w:pPr>
              <w:adjustRightInd w:val="0"/>
              <w:snapToGrid w:val="0"/>
              <w:spacing w:before="120" w:line="480" w:lineRule="auto"/>
              <w:ind w:left="420" w:firstLine="420"/>
              <w:rPr>
                <w:rFonts w:ascii="宋体" w:hAnsi="宋体"/>
              </w:rPr>
            </w:pPr>
            <w:r>
              <w:rPr>
                <w:rFonts w:hint="eastAsia" w:ascii="宋体" w:hAnsi="宋体" w:eastAsia="宋体"/>
              </w:rPr>
              <w:t xml:space="preserve">招 標 人： </w:t>
            </w:r>
          </w:p>
        </w:tc>
        <w:tc>
          <w:tcPr>
            <w:tcW w:w="5670" w:type="dxa"/>
            <w:vAlign w:val="center"/>
          </w:tcPr>
          <w:p>
            <w:pPr>
              <w:tabs>
                <w:tab w:val="left" w:pos="4500"/>
              </w:tabs>
              <w:adjustRightInd w:val="0"/>
              <w:snapToGrid w:val="0"/>
              <w:spacing w:before="120" w:line="480" w:lineRule="auto"/>
              <w:ind w:left="420" w:firstLine="420"/>
              <w:rPr>
                <w:rFonts w:ascii="宋体" w:hAnsi="宋体"/>
                <w:szCs w:val="21"/>
                <w:u w:val="single"/>
              </w:rPr>
            </w:pPr>
            <w:r>
              <w:rPr>
                <w:rFonts w:hint="eastAsia" w:ascii="宋体" w:hAnsi="宋体" w:eastAsia="宋体"/>
                <w:szCs w:val="21"/>
                <w:u w:val="single"/>
              </w:rPr>
              <w:t>廣深鐵路股份有限公司深圳供電段</w:t>
            </w:r>
          </w:p>
        </w:tc>
      </w:tr>
      <w:tr>
        <w:tblPrEx>
          <w:tblCellMar>
            <w:top w:w="0" w:type="dxa"/>
            <w:left w:w="108" w:type="dxa"/>
            <w:bottom w:w="0" w:type="dxa"/>
            <w:right w:w="108" w:type="dxa"/>
          </w:tblCellMar>
        </w:tblPrEx>
        <w:tc>
          <w:tcPr>
            <w:tcW w:w="2093" w:type="dxa"/>
          </w:tcPr>
          <w:p>
            <w:pPr>
              <w:adjustRightInd w:val="0"/>
              <w:snapToGrid w:val="0"/>
              <w:spacing w:before="120" w:line="480" w:lineRule="auto"/>
              <w:ind w:left="420" w:firstLine="420"/>
              <w:rPr>
                <w:rFonts w:ascii="宋体" w:hAnsi="宋体"/>
              </w:rPr>
            </w:pPr>
            <w:r>
              <w:rPr>
                <w:rFonts w:hint="eastAsia" w:ascii="宋体" w:hAnsi="宋体" w:eastAsia="宋体"/>
              </w:rPr>
              <w:t xml:space="preserve">地    址： </w:t>
            </w:r>
          </w:p>
        </w:tc>
        <w:tc>
          <w:tcPr>
            <w:tcW w:w="5670" w:type="dxa"/>
            <w:vAlign w:val="center"/>
          </w:tcPr>
          <w:p>
            <w:pPr>
              <w:tabs>
                <w:tab w:val="left" w:pos="4500"/>
              </w:tabs>
              <w:adjustRightInd w:val="0"/>
              <w:snapToGrid w:val="0"/>
              <w:spacing w:before="120" w:line="480" w:lineRule="auto"/>
              <w:ind w:left="420" w:firstLine="420"/>
              <w:rPr>
                <w:rFonts w:ascii="宋体" w:hAnsi="宋体"/>
                <w:szCs w:val="21"/>
                <w:u w:val="single"/>
              </w:rPr>
            </w:pPr>
            <w:r>
              <w:rPr>
                <w:rFonts w:hint="eastAsia" w:ascii="宋体" w:hAnsi="宋体" w:eastAsia="宋体"/>
                <w:szCs w:val="21"/>
                <w:u w:val="single"/>
              </w:rPr>
              <w:t>深圳市羅湖區筍崗街道北站街99號</w:t>
            </w:r>
          </w:p>
        </w:tc>
      </w:tr>
      <w:tr>
        <w:tblPrEx>
          <w:tblCellMar>
            <w:top w:w="0" w:type="dxa"/>
            <w:left w:w="108" w:type="dxa"/>
            <w:bottom w:w="0" w:type="dxa"/>
            <w:right w:w="108" w:type="dxa"/>
          </w:tblCellMar>
        </w:tblPrEx>
        <w:tc>
          <w:tcPr>
            <w:tcW w:w="2093" w:type="dxa"/>
          </w:tcPr>
          <w:p>
            <w:pPr>
              <w:adjustRightInd w:val="0"/>
              <w:snapToGrid w:val="0"/>
              <w:spacing w:before="120" w:line="480" w:lineRule="auto"/>
              <w:ind w:left="420" w:firstLine="420"/>
              <w:rPr>
                <w:rFonts w:ascii="宋体" w:hAnsi="宋体"/>
              </w:rPr>
            </w:pPr>
            <w:r>
              <w:rPr>
                <w:rFonts w:hint="eastAsia" w:ascii="宋体" w:hAnsi="宋体" w:eastAsia="宋体"/>
              </w:rPr>
              <w:t>郵    編：</w:t>
            </w:r>
          </w:p>
        </w:tc>
        <w:tc>
          <w:tcPr>
            <w:tcW w:w="5670" w:type="dxa"/>
            <w:vAlign w:val="center"/>
          </w:tcPr>
          <w:p>
            <w:pPr>
              <w:tabs>
                <w:tab w:val="left" w:pos="4500"/>
              </w:tabs>
              <w:adjustRightInd w:val="0"/>
              <w:snapToGrid w:val="0"/>
              <w:spacing w:before="120" w:line="480" w:lineRule="auto"/>
              <w:ind w:left="420" w:firstLine="420"/>
              <w:rPr>
                <w:rFonts w:ascii="宋体" w:hAnsi="宋体"/>
                <w:szCs w:val="21"/>
              </w:rPr>
            </w:pPr>
            <w:r>
              <w:rPr>
                <w:rFonts w:ascii="宋体" w:hAnsi="宋体" w:eastAsia="宋体"/>
                <w:szCs w:val="21"/>
                <w:u w:val="single"/>
              </w:rPr>
              <w:t>510</w:t>
            </w:r>
            <w:r>
              <w:rPr>
                <w:rFonts w:hint="eastAsia" w:ascii="宋体" w:hAnsi="宋体" w:eastAsia="宋体"/>
                <w:szCs w:val="21"/>
                <w:u w:val="single"/>
              </w:rPr>
              <w:t>0</w:t>
            </w:r>
            <w:r>
              <w:rPr>
                <w:rFonts w:ascii="宋体" w:hAnsi="宋体" w:eastAsia="宋体"/>
                <w:szCs w:val="21"/>
                <w:u w:val="single"/>
              </w:rPr>
              <w:t>10</w:t>
            </w:r>
          </w:p>
        </w:tc>
      </w:tr>
      <w:tr>
        <w:tblPrEx>
          <w:tblCellMar>
            <w:top w:w="0" w:type="dxa"/>
            <w:left w:w="108" w:type="dxa"/>
            <w:bottom w:w="0" w:type="dxa"/>
            <w:right w:w="108" w:type="dxa"/>
          </w:tblCellMar>
        </w:tblPrEx>
        <w:tc>
          <w:tcPr>
            <w:tcW w:w="2093" w:type="dxa"/>
          </w:tcPr>
          <w:p>
            <w:pPr>
              <w:adjustRightInd w:val="0"/>
              <w:snapToGrid w:val="0"/>
              <w:spacing w:before="120" w:line="480" w:lineRule="auto"/>
              <w:ind w:left="420" w:firstLine="420"/>
              <w:rPr>
                <w:rFonts w:ascii="宋体" w:hAnsi="宋体"/>
              </w:rPr>
            </w:pPr>
            <w:r>
              <w:rPr>
                <w:rFonts w:hint="eastAsia" w:ascii="宋体" w:hAnsi="宋体" w:eastAsia="宋体"/>
              </w:rPr>
              <w:t xml:space="preserve">聯 系 人： </w:t>
            </w:r>
          </w:p>
        </w:tc>
        <w:tc>
          <w:tcPr>
            <w:tcW w:w="5670" w:type="dxa"/>
            <w:vAlign w:val="center"/>
          </w:tcPr>
          <w:p>
            <w:pPr>
              <w:tabs>
                <w:tab w:val="left" w:pos="4500"/>
              </w:tabs>
              <w:adjustRightInd w:val="0"/>
              <w:snapToGrid w:val="0"/>
              <w:spacing w:before="120" w:line="480" w:lineRule="auto"/>
              <w:ind w:left="420" w:firstLine="420"/>
              <w:rPr>
                <w:rFonts w:ascii="宋体" w:hAnsi="宋体"/>
                <w:szCs w:val="21"/>
                <w:u w:val="single"/>
              </w:rPr>
            </w:pPr>
            <w:r>
              <w:rPr>
                <w:rFonts w:hint="eastAsia" w:ascii="宋体" w:hAnsi="宋体" w:eastAsia="宋体"/>
                <w:szCs w:val="21"/>
                <w:u w:val="single"/>
              </w:rPr>
              <w:t>遊工</w:t>
            </w:r>
          </w:p>
        </w:tc>
      </w:tr>
      <w:tr>
        <w:tblPrEx>
          <w:tblCellMar>
            <w:top w:w="0" w:type="dxa"/>
            <w:left w:w="108" w:type="dxa"/>
            <w:bottom w:w="0" w:type="dxa"/>
            <w:right w:w="108" w:type="dxa"/>
          </w:tblCellMar>
        </w:tblPrEx>
        <w:tc>
          <w:tcPr>
            <w:tcW w:w="2093" w:type="dxa"/>
          </w:tcPr>
          <w:p>
            <w:pPr>
              <w:adjustRightInd w:val="0"/>
              <w:snapToGrid w:val="0"/>
              <w:spacing w:before="120" w:line="480" w:lineRule="auto"/>
              <w:ind w:left="420" w:firstLine="420"/>
              <w:rPr>
                <w:rFonts w:ascii="宋体" w:hAnsi="宋体"/>
              </w:rPr>
            </w:pPr>
            <w:r>
              <w:rPr>
                <w:rFonts w:hint="eastAsia" w:ascii="宋体" w:hAnsi="宋体" w:eastAsia="宋体"/>
              </w:rPr>
              <w:t xml:space="preserve">電    話： </w:t>
            </w:r>
          </w:p>
        </w:tc>
        <w:tc>
          <w:tcPr>
            <w:tcW w:w="5670" w:type="dxa"/>
            <w:vAlign w:val="center"/>
          </w:tcPr>
          <w:p>
            <w:pPr>
              <w:tabs>
                <w:tab w:val="left" w:pos="4500"/>
              </w:tabs>
              <w:adjustRightInd w:val="0"/>
              <w:snapToGrid w:val="0"/>
              <w:spacing w:before="120" w:line="480" w:lineRule="auto"/>
              <w:ind w:left="420" w:firstLine="420"/>
              <w:rPr>
                <w:rFonts w:ascii="宋体" w:hAnsi="宋体"/>
                <w:szCs w:val="21"/>
              </w:rPr>
            </w:pPr>
            <w:r>
              <w:rPr>
                <w:rFonts w:hint="eastAsia" w:ascii="宋体" w:hAnsi="宋体" w:eastAsia="宋体"/>
                <w:szCs w:val="21"/>
                <w:u w:val="single"/>
              </w:rPr>
              <w:t>0</w:t>
            </w:r>
            <w:r>
              <w:rPr>
                <w:rFonts w:ascii="宋体" w:hAnsi="宋体" w:eastAsia="宋体"/>
                <w:szCs w:val="21"/>
                <w:u w:val="single"/>
              </w:rPr>
              <w:t>75</w:t>
            </w:r>
            <w:r>
              <w:rPr>
                <w:rFonts w:hint="eastAsia" w:ascii="宋体" w:hAnsi="宋体" w:eastAsia="宋体"/>
                <w:szCs w:val="21"/>
                <w:u w:val="single"/>
              </w:rPr>
              <w:t>5-61385395</w:t>
            </w:r>
          </w:p>
        </w:tc>
      </w:tr>
      <w:tr>
        <w:tblPrEx>
          <w:tblCellMar>
            <w:top w:w="0" w:type="dxa"/>
            <w:left w:w="108" w:type="dxa"/>
            <w:bottom w:w="0" w:type="dxa"/>
            <w:right w:w="108" w:type="dxa"/>
          </w:tblCellMar>
        </w:tblPrEx>
        <w:tc>
          <w:tcPr>
            <w:tcW w:w="2093" w:type="dxa"/>
            <w:vAlign w:val="center"/>
          </w:tcPr>
          <w:p>
            <w:pPr>
              <w:tabs>
                <w:tab w:val="left" w:pos="4500"/>
              </w:tabs>
              <w:adjustRightInd w:val="0"/>
              <w:snapToGrid w:val="0"/>
              <w:spacing w:before="120" w:line="480" w:lineRule="auto"/>
              <w:ind w:left="420" w:firstLine="420"/>
              <w:rPr>
                <w:rFonts w:ascii="宋体" w:hAnsi="宋体"/>
                <w:szCs w:val="21"/>
              </w:rPr>
            </w:pPr>
          </w:p>
        </w:tc>
        <w:tc>
          <w:tcPr>
            <w:tcW w:w="5670" w:type="dxa"/>
            <w:vAlign w:val="center"/>
          </w:tcPr>
          <w:p>
            <w:pPr>
              <w:tabs>
                <w:tab w:val="left" w:pos="4500"/>
              </w:tabs>
              <w:adjustRightInd w:val="0"/>
              <w:snapToGrid w:val="0"/>
              <w:spacing w:before="120" w:line="480" w:lineRule="auto"/>
              <w:ind w:left="420" w:firstLine="420"/>
              <w:rPr>
                <w:rFonts w:ascii="宋体" w:hAnsi="宋体"/>
                <w:szCs w:val="21"/>
                <w:u w:val="single"/>
              </w:rPr>
            </w:pPr>
          </w:p>
        </w:tc>
      </w:tr>
      <w:tr>
        <w:tblPrEx>
          <w:tblCellMar>
            <w:top w:w="0" w:type="dxa"/>
            <w:left w:w="108" w:type="dxa"/>
            <w:bottom w:w="0" w:type="dxa"/>
            <w:right w:w="108" w:type="dxa"/>
          </w:tblCellMar>
        </w:tblPrEx>
        <w:tc>
          <w:tcPr>
            <w:tcW w:w="2093" w:type="dxa"/>
          </w:tcPr>
          <w:p>
            <w:pPr>
              <w:adjustRightInd w:val="0"/>
              <w:snapToGrid w:val="0"/>
              <w:spacing w:before="120" w:line="480" w:lineRule="auto"/>
              <w:ind w:left="420"/>
              <w:rPr>
                <w:rFonts w:ascii="宋体" w:hAnsi="宋体"/>
              </w:rPr>
            </w:pPr>
            <w:r>
              <w:rPr>
                <w:rFonts w:hint="eastAsia" w:ascii="宋体" w:hAnsi="宋体" w:eastAsia="宋体"/>
              </w:rPr>
              <w:t xml:space="preserve">招標代理機構： </w:t>
            </w:r>
          </w:p>
        </w:tc>
        <w:tc>
          <w:tcPr>
            <w:tcW w:w="5670" w:type="dxa"/>
          </w:tcPr>
          <w:p>
            <w:pPr>
              <w:adjustRightInd w:val="0"/>
              <w:snapToGrid w:val="0"/>
              <w:spacing w:before="120" w:line="480" w:lineRule="auto"/>
              <w:ind w:left="420" w:firstLine="420"/>
              <w:rPr>
                <w:rFonts w:ascii="宋体" w:hAnsi="宋体"/>
              </w:rPr>
            </w:pPr>
            <w:r>
              <w:rPr>
                <w:rFonts w:hint="eastAsia" w:ascii="宋体" w:hAnsi="宋体" w:eastAsia="宋体"/>
              </w:rPr>
              <w:t>中鐵物總國際招標有限公司</w:t>
            </w:r>
          </w:p>
        </w:tc>
      </w:tr>
      <w:tr>
        <w:tblPrEx>
          <w:tblCellMar>
            <w:top w:w="0" w:type="dxa"/>
            <w:left w:w="108" w:type="dxa"/>
            <w:bottom w:w="0" w:type="dxa"/>
            <w:right w:w="108" w:type="dxa"/>
          </w:tblCellMar>
        </w:tblPrEx>
        <w:tc>
          <w:tcPr>
            <w:tcW w:w="2093" w:type="dxa"/>
          </w:tcPr>
          <w:p>
            <w:pPr>
              <w:adjustRightInd w:val="0"/>
              <w:snapToGrid w:val="0"/>
              <w:spacing w:before="120" w:line="480" w:lineRule="auto"/>
              <w:ind w:left="420" w:firstLine="420"/>
              <w:rPr>
                <w:rFonts w:ascii="宋体" w:hAnsi="宋体"/>
              </w:rPr>
            </w:pPr>
            <w:r>
              <w:rPr>
                <w:rFonts w:hint="eastAsia" w:ascii="宋体" w:hAnsi="宋体" w:eastAsia="宋体"/>
              </w:rPr>
              <w:t xml:space="preserve">地    址： </w:t>
            </w:r>
          </w:p>
        </w:tc>
        <w:tc>
          <w:tcPr>
            <w:tcW w:w="5670" w:type="dxa"/>
          </w:tcPr>
          <w:p>
            <w:pPr>
              <w:adjustRightInd w:val="0"/>
              <w:snapToGrid w:val="0"/>
              <w:spacing w:before="120" w:line="480" w:lineRule="auto"/>
              <w:ind w:left="420" w:firstLine="420"/>
              <w:rPr>
                <w:rFonts w:ascii="宋体" w:hAnsi="宋体"/>
              </w:rPr>
            </w:pPr>
            <w:r>
              <w:rPr>
                <w:rFonts w:hint="eastAsia" w:ascii="宋体" w:hAnsi="宋体" w:eastAsia="宋体"/>
              </w:rPr>
              <w:t>廣州市越秀區農林下路5號億達大廈1003房</w:t>
            </w:r>
          </w:p>
        </w:tc>
      </w:tr>
      <w:tr>
        <w:tblPrEx>
          <w:tblCellMar>
            <w:top w:w="0" w:type="dxa"/>
            <w:left w:w="108" w:type="dxa"/>
            <w:bottom w:w="0" w:type="dxa"/>
            <w:right w:w="108" w:type="dxa"/>
          </w:tblCellMar>
        </w:tblPrEx>
        <w:tc>
          <w:tcPr>
            <w:tcW w:w="2093" w:type="dxa"/>
          </w:tcPr>
          <w:p>
            <w:pPr>
              <w:adjustRightInd w:val="0"/>
              <w:snapToGrid w:val="0"/>
              <w:spacing w:before="120" w:line="480" w:lineRule="auto"/>
              <w:ind w:left="420" w:firstLine="420"/>
              <w:rPr>
                <w:rFonts w:ascii="宋体" w:hAnsi="宋体"/>
              </w:rPr>
            </w:pPr>
            <w:r>
              <w:rPr>
                <w:rFonts w:hint="eastAsia" w:ascii="宋体" w:hAnsi="宋体" w:eastAsia="宋体"/>
              </w:rPr>
              <w:t>郵    編：</w:t>
            </w:r>
          </w:p>
        </w:tc>
        <w:tc>
          <w:tcPr>
            <w:tcW w:w="5670" w:type="dxa"/>
          </w:tcPr>
          <w:p>
            <w:pPr>
              <w:adjustRightInd w:val="0"/>
              <w:snapToGrid w:val="0"/>
              <w:spacing w:before="120" w:line="480" w:lineRule="auto"/>
              <w:ind w:left="420" w:firstLine="420"/>
              <w:rPr>
                <w:rFonts w:ascii="宋体" w:hAnsi="宋体"/>
              </w:rPr>
            </w:pPr>
            <w:r>
              <w:rPr>
                <w:rFonts w:ascii="宋体" w:hAnsi="宋体" w:eastAsia="宋体"/>
              </w:rPr>
              <w:t>510080</w:t>
            </w:r>
          </w:p>
        </w:tc>
      </w:tr>
      <w:tr>
        <w:tblPrEx>
          <w:tblCellMar>
            <w:top w:w="0" w:type="dxa"/>
            <w:left w:w="108" w:type="dxa"/>
            <w:bottom w:w="0" w:type="dxa"/>
            <w:right w:w="108" w:type="dxa"/>
          </w:tblCellMar>
        </w:tblPrEx>
        <w:tc>
          <w:tcPr>
            <w:tcW w:w="2093" w:type="dxa"/>
          </w:tcPr>
          <w:p>
            <w:pPr>
              <w:adjustRightInd w:val="0"/>
              <w:snapToGrid w:val="0"/>
              <w:spacing w:before="120" w:line="480" w:lineRule="auto"/>
              <w:ind w:left="420" w:firstLine="420"/>
              <w:rPr>
                <w:rFonts w:ascii="宋体" w:hAnsi="宋体"/>
              </w:rPr>
            </w:pPr>
            <w:r>
              <w:rPr>
                <w:rFonts w:hint="eastAsia" w:ascii="宋体" w:hAnsi="宋体" w:eastAsia="宋体"/>
              </w:rPr>
              <w:t xml:space="preserve">專案經理： </w:t>
            </w:r>
          </w:p>
        </w:tc>
        <w:tc>
          <w:tcPr>
            <w:tcW w:w="5670" w:type="dxa"/>
          </w:tcPr>
          <w:p>
            <w:pPr>
              <w:adjustRightInd w:val="0"/>
              <w:snapToGrid w:val="0"/>
              <w:spacing w:before="120" w:line="480" w:lineRule="auto"/>
              <w:ind w:left="420" w:firstLine="420"/>
              <w:rPr>
                <w:rFonts w:ascii="宋体" w:hAnsi="宋体"/>
              </w:rPr>
            </w:pPr>
            <w:r>
              <w:rPr>
                <w:rFonts w:hint="eastAsia" w:ascii="宋体" w:hAnsi="宋体" w:eastAsia="宋体"/>
              </w:rPr>
              <w:t>李劍華（招標師證書編號：09394443909441213）</w:t>
            </w:r>
          </w:p>
        </w:tc>
      </w:tr>
      <w:tr>
        <w:tblPrEx>
          <w:tblCellMar>
            <w:top w:w="0" w:type="dxa"/>
            <w:left w:w="108" w:type="dxa"/>
            <w:bottom w:w="0" w:type="dxa"/>
            <w:right w:w="108" w:type="dxa"/>
          </w:tblCellMar>
        </w:tblPrEx>
        <w:tc>
          <w:tcPr>
            <w:tcW w:w="2093" w:type="dxa"/>
          </w:tcPr>
          <w:p>
            <w:pPr>
              <w:adjustRightInd w:val="0"/>
              <w:snapToGrid w:val="0"/>
              <w:spacing w:before="120" w:line="480" w:lineRule="auto"/>
              <w:ind w:left="420"/>
              <w:rPr>
                <w:rFonts w:ascii="宋体" w:hAnsi="宋体"/>
              </w:rPr>
            </w:pPr>
            <w:r>
              <w:rPr>
                <w:rFonts w:hint="eastAsia" w:ascii="宋体" w:hAnsi="宋体" w:eastAsia="宋体"/>
              </w:rPr>
              <w:t xml:space="preserve">投標登記聯繫人： </w:t>
            </w:r>
          </w:p>
        </w:tc>
        <w:tc>
          <w:tcPr>
            <w:tcW w:w="5670" w:type="dxa"/>
          </w:tcPr>
          <w:p>
            <w:pPr>
              <w:adjustRightInd w:val="0"/>
              <w:snapToGrid w:val="0"/>
              <w:spacing w:before="120" w:line="480" w:lineRule="auto"/>
              <w:ind w:left="420" w:firstLine="420"/>
              <w:rPr>
                <w:rFonts w:ascii="宋体" w:hAnsi="宋体"/>
              </w:rPr>
            </w:pPr>
            <w:r>
              <w:rPr>
                <w:rFonts w:hint="eastAsia" w:ascii="宋体" w:hAnsi="宋体" w:eastAsia="宋体"/>
              </w:rPr>
              <w:t>劉工</w:t>
            </w:r>
            <w:r>
              <w:rPr>
                <w:rFonts w:ascii="宋体" w:hAnsi="宋体" w:eastAsia="宋体"/>
              </w:rPr>
              <w:t>13600487989</w:t>
            </w:r>
          </w:p>
        </w:tc>
      </w:tr>
      <w:tr>
        <w:tblPrEx>
          <w:tblCellMar>
            <w:top w:w="0" w:type="dxa"/>
            <w:left w:w="108" w:type="dxa"/>
            <w:bottom w:w="0" w:type="dxa"/>
            <w:right w:w="108" w:type="dxa"/>
          </w:tblCellMar>
        </w:tblPrEx>
        <w:tc>
          <w:tcPr>
            <w:tcW w:w="2093" w:type="dxa"/>
          </w:tcPr>
          <w:p>
            <w:pPr>
              <w:adjustRightInd w:val="0"/>
              <w:snapToGrid w:val="0"/>
              <w:spacing w:before="120" w:line="480" w:lineRule="auto"/>
              <w:ind w:left="420"/>
              <w:rPr>
                <w:rFonts w:ascii="宋体" w:hAnsi="宋体"/>
              </w:rPr>
            </w:pPr>
            <w:r>
              <w:rPr>
                <w:rFonts w:hint="eastAsia" w:ascii="宋体" w:hAnsi="宋体" w:eastAsia="宋体"/>
              </w:rPr>
              <w:t>業務聯繫人：</w:t>
            </w:r>
          </w:p>
        </w:tc>
        <w:tc>
          <w:tcPr>
            <w:tcW w:w="5670" w:type="dxa"/>
          </w:tcPr>
          <w:p>
            <w:pPr>
              <w:adjustRightInd w:val="0"/>
              <w:snapToGrid w:val="0"/>
              <w:spacing w:before="120" w:line="480" w:lineRule="auto"/>
              <w:ind w:left="420" w:firstLine="420"/>
              <w:rPr>
                <w:rFonts w:ascii="宋体" w:hAnsi="宋体"/>
              </w:rPr>
            </w:pPr>
            <w:r>
              <w:rPr>
                <w:rFonts w:hint="eastAsia" w:ascii="宋体" w:hAnsi="宋体" w:eastAsia="宋体"/>
              </w:rPr>
              <w:t>靳工1</w:t>
            </w:r>
            <w:r>
              <w:rPr>
                <w:rFonts w:ascii="宋体" w:hAnsi="宋体" w:eastAsia="宋体"/>
              </w:rPr>
              <w:t>3076865531</w:t>
            </w:r>
          </w:p>
        </w:tc>
      </w:tr>
      <w:tr>
        <w:tblPrEx>
          <w:tblCellMar>
            <w:top w:w="0" w:type="dxa"/>
            <w:left w:w="108" w:type="dxa"/>
            <w:bottom w:w="0" w:type="dxa"/>
            <w:right w:w="108" w:type="dxa"/>
          </w:tblCellMar>
        </w:tblPrEx>
        <w:tc>
          <w:tcPr>
            <w:tcW w:w="2093" w:type="dxa"/>
          </w:tcPr>
          <w:p>
            <w:pPr>
              <w:adjustRightInd w:val="0"/>
              <w:snapToGrid w:val="0"/>
              <w:spacing w:before="120" w:line="480" w:lineRule="auto"/>
              <w:ind w:left="420" w:firstLine="420"/>
              <w:rPr>
                <w:rFonts w:ascii="宋体" w:hAnsi="宋体"/>
              </w:rPr>
            </w:pPr>
            <w:r>
              <w:rPr>
                <w:rFonts w:hint="eastAsia" w:ascii="宋体" w:hAnsi="宋体" w:eastAsia="宋体"/>
              </w:rPr>
              <w:t>電子郵件：</w:t>
            </w:r>
          </w:p>
        </w:tc>
        <w:tc>
          <w:tcPr>
            <w:tcW w:w="5670" w:type="dxa"/>
          </w:tcPr>
          <w:p>
            <w:pPr>
              <w:adjustRightInd w:val="0"/>
              <w:snapToGrid w:val="0"/>
              <w:spacing w:before="120" w:line="480" w:lineRule="auto"/>
              <w:ind w:left="420" w:firstLine="420"/>
              <w:rPr>
                <w:rFonts w:ascii="宋体" w:hAnsi="宋体"/>
              </w:rPr>
            </w:pPr>
            <w:r>
              <w:rPr>
                <w:rFonts w:ascii="宋体" w:hAnsi="宋体" w:eastAsia="宋体"/>
              </w:rPr>
              <w:t>C</w:t>
            </w:r>
            <w:r>
              <w:rPr>
                <w:rFonts w:hint="eastAsia" w:ascii="宋体" w:hAnsi="宋体" w:eastAsia="宋体"/>
              </w:rPr>
              <w:t>rmscgz2019@163.com</w:t>
            </w:r>
          </w:p>
        </w:tc>
      </w:tr>
    </w:tbl>
    <w:p>
      <w:pPr>
        <w:adjustRightInd w:val="0"/>
        <w:snapToGrid w:val="0"/>
        <w:spacing w:before="120" w:line="480" w:lineRule="auto"/>
        <w:ind w:left="420" w:right="735" w:firstLine="199" w:firstLineChars="95"/>
        <w:jc w:val="left"/>
        <w:rPr>
          <w:szCs w:val="21"/>
          <w:u w:val="single"/>
          <w:lang w:val="en-GB"/>
        </w:rPr>
      </w:pPr>
    </w:p>
    <w:p>
      <w:pPr>
        <w:adjustRightInd w:val="0"/>
        <w:snapToGrid w:val="0"/>
        <w:spacing w:before="120" w:line="480" w:lineRule="auto"/>
        <w:ind w:left="420" w:right="420" w:firstLine="420"/>
        <w:jc w:val="right"/>
        <w:rPr>
          <w:rFonts w:ascii="宋体" w:hAnsi="宋体"/>
          <w:szCs w:val="21"/>
        </w:rPr>
      </w:pPr>
    </w:p>
    <w:p>
      <w:pPr>
        <w:adjustRightInd w:val="0"/>
        <w:snapToGrid w:val="0"/>
        <w:spacing w:before="120" w:line="480" w:lineRule="auto"/>
        <w:ind w:left="420" w:right="420" w:firstLine="420"/>
        <w:jc w:val="right"/>
        <w:rPr>
          <w:rFonts w:ascii="宋体" w:hAnsi="宋体"/>
          <w:szCs w:val="21"/>
        </w:rPr>
      </w:pPr>
      <w:r>
        <w:rPr>
          <w:rFonts w:hint="eastAsia" w:ascii="宋体" w:hAnsi="宋体" w:eastAsia="宋体"/>
          <w:szCs w:val="21"/>
        </w:rPr>
        <w:t>廣深鐵路股份有限公司深圳供電段</w:t>
      </w:r>
    </w:p>
    <w:p>
      <w:pPr>
        <w:adjustRightInd w:val="0"/>
        <w:snapToGrid w:val="0"/>
        <w:spacing w:before="120" w:line="480" w:lineRule="auto"/>
        <w:ind w:left="420" w:right="2310" w:firstLine="420"/>
        <w:jc w:val="left"/>
      </w:pPr>
      <w:r>
        <w:rPr>
          <w:rFonts w:hint="eastAsia" w:ascii="宋体" w:hAnsi="宋体" w:eastAsia="宋体"/>
          <w:szCs w:val="21"/>
        </w:rPr>
        <w:t xml:space="preserve"> </w:t>
      </w:r>
      <w:r>
        <w:rPr>
          <w:rFonts w:hint="eastAsia" w:ascii="宋体" w:hAnsi="宋体" w:eastAsia="宋体"/>
          <w:szCs w:val="21"/>
          <w:lang w:val="en-US" w:eastAsia="zh-CN"/>
        </w:rPr>
        <w:t xml:space="preserve">                                         </w:t>
      </w:r>
      <w:r>
        <w:rPr>
          <w:rFonts w:hint="eastAsia" w:ascii="宋体" w:hAnsi="宋体" w:eastAsia="宋体"/>
          <w:szCs w:val="21"/>
        </w:rPr>
        <w:t>負責人：</w:t>
      </w:r>
      <w:r>
        <w:rPr>
          <w:rFonts w:hint="eastAsia" w:ascii="宋体" w:hAnsi="宋体" w:eastAsia="宋体"/>
          <w:szCs w:val="21"/>
          <w:lang w:eastAsia="zh-CN"/>
        </w:rPr>
        <w:t>郭少光</w:t>
      </w:r>
      <w:r>
        <w:rPr>
          <w:rFonts w:hint="eastAsia" w:ascii="宋体" w:hAnsi="宋体" w:eastAsia="宋体"/>
          <w:szCs w:val="21"/>
        </w:rPr>
        <w:t xml:space="preserve"> </w:t>
      </w:r>
    </w:p>
    <w:p>
      <w:pPr>
        <w:adjustRightInd w:val="0"/>
        <w:snapToGrid w:val="0"/>
        <w:spacing w:before="120" w:line="480" w:lineRule="auto"/>
        <w:ind w:left="420" w:right="735"/>
        <w:jc w:val="right"/>
        <w:rPr>
          <w:rFonts w:ascii="宋体" w:hAnsi="宋体"/>
        </w:rPr>
        <w:sectPr>
          <w:footerReference r:id="rId3" w:type="default"/>
          <w:footerReference r:id="rId4" w:type="even"/>
          <w:endnotePr>
            <w:numFmt w:val="decimal"/>
          </w:endnotePr>
          <w:pgSz w:w="11906" w:h="16838"/>
          <w:pgMar w:top="1418" w:right="1247" w:bottom="1418" w:left="1247" w:header="851" w:footer="992" w:gutter="454"/>
          <w:cols w:space="720" w:num="1"/>
          <w:docGrid w:linePitch="494" w:charSpace="-1164"/>
        </w:sectPr>
      </w:pPr>
      <w:bookmarkStart w:id="24" w:name="_Hlk91597703"/>
      <w:r>
        <w:rPr>
          <w:rFonts w:hint="eastAsia" w:ascii="宋体" w:hAnsi="宋体" w:eastAsia="宋体"/>
        </w:rPr>
        <w:t>202</w:t>
      </w:r>
      <w:r>
        <w:rPr>
          <w:rFonts w:ascii="宋体" w:hAnsi="宋体" w:eastAsia="宋体"/>
        </w:rPr>
        <w:t>2年</w:t>
      </w:r>
      <w:r>
        <w:rPr>
          <w:rFonts w:ascii="宋体" w:hAnsi="宋体" w:eastAsia="宋体"/>
          <w:szCs w:val="21"/>
          <w:u w:val="single"/>
        </w:rPr>
        <w:t>5</w:t>
      </w:r>
      <w:r>
        <w:rPr>
          <w:rFonts w:ascii="宋体" w:hAnsi="宋体" w:eastAsia="宋体"/>
        </w:rPr>
        <w:t>月</w:t>
      </w:r>
      <w:r>
        <w:rPr>
          <w:rFonts w:ascii="宋体" w:hAnsi="宋体" w:eastAsia="宋体"/>
          <w:szCs w:val="21"/>
          <w:u w:val="single"/>
        </w:rPr>
        <w:t>27</w:t>
      </w:r>
      <w:r>
        <w:rPr>
          <w:rFonts w:hint="eastAsia" w:ascii="宋体" w:hAnsi="宋体" w:eastAsia="宋体"/>
          <w:u w:val="single"/>
        </w:rPr>
        <w:t>日</w:t>
      </w:r>
    </w:p>
    <w:bookmarkEnd w:id="2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ind w:left="420" w:right="360" w:firstLine="360"/>
      <w:jc w:val="center"/>
    </w:pPr>
    <w:r>
      <w:fldChar w:fldCharType="begin"/>
    </w:r>
    <w:r>
      <w:instrText xml:space="preserve">PAGE   \* MERGEFORMAT</w:instrText>
    </w:r>
    <w:r>
      <w:fldChar w:fldCharType="separate"/>
    </w:r>
    <w:r>
      <w:rPr>
        <w:rFonts w:eastAsia="宋体"/>
        <w:lang w:val="zh-CN"/>
      </w:rPr>
      <w:t>54</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spacing w:before="120"/>
      <w:ind w:left="420" w:firstLine="360"/>
      <w:rPr>
        <w:rStyle w:val="7"/>
      </w:rPr>
    </w:pPr>
    <w:r>
      <w:fldChar w:fldCharType="begin"/>
    </w:r>
    <w:r>
      <w:rPr>
        <w:rStyle w:val="7"/>
      </w:rPr>
      <w:instrText xml:space="preserve">PAGE  </w:instrText>
    </w:r>
    <w:r>
      <w:fldChar w:fldCharType="end"/>
    </w:r>
  </w:p>
  <w:p>
    <w:pPr>
      <w:pStyle w:val="2"/>
      <w:spacing w:before="120"/>
      <w:ind w:left="420"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g5MGNmYzRjNGMwMDliMjc0YTFhMzU4NTllNGY4NmIifQ=="/>
  </w:docVars>
  <w:rsids>
    <w:rsidRoot w:val="00A8089B"/>
    <w:rsid w:val="00076902"/>
    <w:rsid w:val="002F2EE6"/>
    <w:rsid w:val="003A2258"/>
    <w:rsid w:val="003F23BF"/>
    <w:rsid w:val="003F3518"/>
    <w:rsid w:val="006B4596"/>
    <w:rsid w:val="007350A1"/>
    <w:rsid w:val="007632EA"/>
    <w:rsid w:val="00777A0B"/>
    <w:rsid w:val="008234D8"/>
    <w:rsid w:val="00831DAC"/>
    <w:rsid w:val="00862B85"/>
    <w:rsid w:val="00A8089B"/>
    <w:rsid w:val="00BC14E6"/>
    <w:rsid w:val="00C53FDE"/>
    <w:rsid w:val="00DF7DF0"/>
    <w:rsid w:val="00ED2F7F"/>
    <w:rsid w:val="00EE10B0"/>
    <w:rsid w:val="00FC26F0"/>
    <w:rsid w:val="479151F1"/>
    <w:rsid w:val="6B5E4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List"/>
    <w:basedOn w:val="1"/>
    <w:qFormat/>
    <w:uiPriority w:val="0"/>
    <w:pPr>
      <w:autoSpaceDE w:val="0"/>
      <w:autoSpaceDN w:val="0"/>
      <w:adjustRightInd w:val="0"/>
      <w:ind w:left="360" w:hanging="360"/>
      <w:jc w:val="left"/>
      <w:textAlignment w:val="baseline"/>
    </w:pPr>
    <w:rPr>
      <w:kern w:val="0"/>
      <w:sz w:val="20"/>
      <w:szCs w:val="20"/>
    </w:rPr>
  </w:style>
  <w:style w:type="character" w:styleId="7">
    <w:name w:val="page number"/>
    <w:basedOn w:val="6"/>
    <w:qFormat/>
    <w:uiPriority w:val="0"/>
  </w:style>
  <w:style w:type="character" w:customStyle="1" w:styleId="8">
    <w:name w:val="页眉 字符"/>
    <w:basedOn w:val="6"/>
    <w:link w:val="3"/>
    <w:uiPriority w:val="99"/>
    <w:rPr>
      <w:sz w:val="18"/>
      <w:szCs w:val="18"/>
    </w:rPr>
  </w:style>
  <w:style w:type="character" w:customStyle="1" w:styleId="9">
    <w:name w:val="页脚 字符"/>
    <w:basedOn w:val="6"/>
    <w:link w:val="2"/>
    <w:qFormat/>
    <w:uiPriority w:val="99"/>
    <w:rPr>
      <w:sz w:val="18"/>
      <w:szCs w:val="18"/>
    </w:rPr>
  </w:style>
  <w:style w:type="paragraph" w:customStyle="1" w:styleId="10">
    <w:name w:val="样式 正文小四wg + 首行缩进:  2 字符"/>
    <w:basedOn w:val="1"/>
    <w:uiPriority w:val="0"/>
    <w:pPr>
      <w:autoSpaceDE w:val="0"/>
      <w:autoSpaceDN w:val="0"/>
      <w:adjustRightInd w:val="0"/>
      <w:ind w:firstLine="200" w:firstLineChars="200"/>
    </w:pPr>
    <w:rPr>
      <w:rFonts w:ascii="仿宋_GB2312" w:hAnsi="宋体" w:eastAsia="仿宋_GB2312" w:cs="宋体"/>
      <w:color w:val="000000"/>
      <w:kern w:val="20"/>
      <w:sz w:val="24"/>
      <w:szCs w:val="20"/>
    </w:rPr>
  </w:style>
  <w:style w:type="paragraph" w:customStyle="1" w:styleId="11">
    <w:name w:val="样式 WG标题2 + 行距: 固定值 18 磅"/>
    <w:basedOn w:val="1"/>
    <w:link w:val="12"/>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character" w:customStyle="1" w:styleId="12">
    <w:name w:val="样式 WG标题2 + 行距: 固定值 18 磅 Char"/>
    <w:link w:val="11"/>
    <w:uiPriority w:val="0"/>
    <w:rPr>
      <w:rFonts w:ascii="仿宋_GB2312" w:hAnsi="宋体" w:eastAsia="宋体" w:cs="宋体"/>
      <w:b/>
      <w:bCs/>
      <w:color w:val="000000"/>
      <w:kern w:val="2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2426</Words>
  <Characters>2818</Characters>
  <Lines>21</Lines>
  <Paragraphs>5</Paragraphs>
  <TotalTime>27</TotalTime>
  <ScaleCrop>false</ScaleCrop>
  <LinksUpToDate>false</LinksUpToDate>
  <CharactersWithSpaces>2917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2022-05-18T02:55:00Z</dcterms:created>
  <dc:creator>靳添添</dc:creator>
  <cp:lastModifiedBy>lenovo</cp:lastModifiedBy>
  <dcterms:modified xsi:type="dcterms:W3CDTF">2022-05-27T08:53:28Z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9A420DCBC28D4F9ABF7CE3CC3326AC34</vt:lpwstr>
  </property>
</Properties>
</file>