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36" w:lineRule="auto"/>
        <w:ind w:left="424"/>
        <w:outlineLvl w:val="1"/>
        <w:rPr>
          <w:rFonts w:ascii="宋体" w:hAnsi="宋体" w:cs="黑体"/>
          <w:bCs w:val="0"/>
          <w:sz w:val="28"/>
          <w:szCs w:val="28"/>
        </w:rPr>
      </w:pPr>
      <w:bookmarkStart w:id="9" w:name="_GoBack"/>
      <w:r>
        <w:rPr>
          <w:rFonts w:hint="eastAsia" w:ascii="宋体" w:hAnsi="宋体" w:eastAsia="宋体" w:cs="黑体"/>
          <w:bCs w:val="0"/>
          <w:sz w:val="28"/>
          <w:szCs w:val="28"/>
        </w:rPr>
        <w:t>深圳車站兩項保潔、給水吸汙委外業務專案</w:t>
      </w:r>
      <w:bookmarkEnd w:id="9"/>
    </w:p>
    <w:p>
      <w:pPr>
        <w:pStyle w:val="6"/>
        <w:rPr>
          <w:rFonts w:ascii="宋体" w:hAnsi="宋体"/>
          <w:snapToGrid w:val="0"/>
          <w:kern w:val="0"/>
          <w:sz w:val="28"/>
          <w:szCs w:val="28"/>
        </w:rPr>
      </w:pPr>
      <w:r>
        <w:rPr>
          <w:rFonts w:hint="eastAsia" w:ascii="宋体" w:hAnsi="宋体" w:eastAsia="宋体"/>
          <w:snapToGrid w:val="0"/>
          <w:kern w:val="0"/>
          <w:sz w:val="28"/>
          <w:szCs w:val="28"/>
        </w:rPr>
        <w:t>深圳車站（2022）8號</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0" w:name="_Toc71292483"/>
      <w:r>
        <w:rPr>
          <w:rFonts w:hint="eastAsia" w:ascii="宋体" w:hAnsi="宋体" w:eastAsia="宋体" w:cs="黑体"/>
          <w:b w:val="0"/>
          <w:bCs w:val="0"/>
          <w:sz w:val="21"/>
          <w:szCs w:val="21"/>
        </w:rPr>
        <w:t>招商人：廣深鐵路股份有限公司</w:t>
      </w:r>
      <w:bookmarkEnd w:id="0"/>
      <w:r>
        <w:rPr>
          <w:rFonts w:hint="eastAsia" w:ascii="宋体" w:hAnsi="宋体" w:eastAsia="宋体" w:cs="黑体"/>
          <w:b w:val="0"/>
          <w:bCs w:val="0"/>
          <w:sz w:val="21"/>
          <w:szCs w:val="21"/>
        </w:rPr>
        <w:t xml:space="preserve"> 深圳車站</w:t>
      </w:r>
    </w:p>
    <w:p>
      <w:pPr>
        <w:pStyle w:val="6"/>
        <w:numPr>
          <w:ilvl w:val="0"/>
          <w:numId w:val="1"/>
        </w:numPr>
        <w:spacing w:before="0" w:after="0" w:line="336" w:lineRule="auto"/>
        <w:jc w:val="left"/>
        <w:outlineLvl w:val="1"/>
        <w:rPr>
          <w:rFonts w:ascii="宋体" w:hAnsi="宋体" w:cs="黑体"/>
          <w:b w:val="0"/>
          <w:bCs w:val="0"/>
          <w:sz w:val="21"/>
          <w:szCs w:val="21"/>
        </w:rPr>
      </w:pPr>
      <w:bookmarkStart w:id="1" w:name="_Toc71292484"/>
      <w:r>
        <w:rPr>
          <w:rFonts w:hint="eastAsia" w:ascii="宋体" w:hAnsi="宋体" w:eastAsia="宋体" w:cs="黑体"/>
          <w:b w:val="0"/>
          <w:bCs w:val="0"/>
          <w:sz w:val="21"/>
          <w:szCs w:val="21"/>
        </w:rPr>
        <w:t>招商專案名稱：深圳車站兩項保潔、給水吸汙委外業務專案</w:t>
      </w:r>
      <w:bookmarkEnd w:id="1"/>
    </w:p>
    <w:p>
      <w:pPr>
        <w:pStyle w:val="6"/>
        <w:numPr>
          <w:ilvl w:val="0"/>
          <w:numId w:val="1"/>
        </w:numPr>
        <w:spacing w:before="0" w:after="0" w:line="336" w:lineRule="auto"/>
        <w:jc w:val="left"/>
        <w:outlineLvl w:val="1"/>
        <w:rPr>
          <w:rFonts w:ascii="宋体" w:hAnsi="宋体" w:cs="黑体"/>
          <w:b w:val="0"/>
          <w:bCs w:val="0"/>
          <w:sz w:val="21"/>
          <w:szCs w:val="21"/>
        </w:rPr>
      </w:pPr>
      <w:bookmarkStart w:id="2" w:name="_Toc71292485"/>
      <w:r>
        <w:rPr>
          <w:rFonts w:hint="eastAsia" w:ascii="宋体" w:hAnsi="宋体" w:eastAsia="宋体" w:cs="黑体"/>
          <w:b w:val="0"/>
          <w:bCs w:val="0"/>
          <w:sz w:val="21"/>
          <w:szCs w:val="21"/>
        </w:rPr>
        <w:t>招商業務基本情況：</w:t>
      </w:r>
      <w:bookmarkEnd w:id="2"/>
    </w:p>
    <w:p>
      <w:pPr>
        <w:spacing w:line="336" w:lineRule="auto"/>
        <w:ind w:firstLine="420" w:firstLineChars="200"/>
        <w:jc w:val="left"/>
        <w:rPr>
          <w:rFonts w:ascii="宋体" w:hAnsi="宋体"/>
        </w:rPr>
      </w:pPr>
      <w:r>
        <w:rPr>
          <w:rFonts w:hint="eastAsia" w:ascii="宋体" w:hAnsi="宋体" w:eastAsia="宋体" w:cs="仿宋_GB2312"/>
          <w:snapToGrid w:val="0"/>
          <w:kern w:val="0"/>
        </w:rPr>
        <w:t>1.服務範圍：</w:t>
      </w:r>
      <w:r>
        <w:rPr>
          <w:rFonts w:hint="eastAsia" w:ascii="宋体" w:hAnsi="宋体" w:eastAsia="宋体"/>
        </w:rPr>
        <w:t>本項目共分2個標包，分別如下：</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3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標包號</w:t>
            </w:r>
          </w:p>
        </w:tc>
        <w:tc>
          <w:tcPr>
            <w:tcW w:w="2235"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專案內容</w:t>
            </w:r>
          </w:p>
        </w:tc>
        <w:tc>
          <w:tcPr>
            <w:tcW w:w="5670" w:type="dxa"/>
            <w:vAlign w:val="center"/>
          </w:tcPr>
          <w:p>
            <w:pPr>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服務範圍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標包1</w:t>
            </w:r>
          </w:p>
        </w:tc>
        <w:tc>
          <w:tcPr>
            <w:tcW w:w="2235"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深圳站、深圳東站、筍崗站保潔、給水吸汙服務</w:t>
            </w:r>
          </w:p>
        </w:tc>
        <w:tc>
          <w:tcPr>
            <w:tcW w:w="5670" w:type="dxa"/>
            <w:vAlign w:val="center"/>
          </w:tcPr>
          <w:p>
            <w:pPr>
              <w:spacing w:line="360" w:lineRule="exact"/>
              <w:jc w:val="left"/>
              <w:rPr>
                <w:rFonts w:ascii="宋体" w:hAnsi="宋体" w:cs="Times New Roman"/>
                <w:kern w:val="0"/>
                <w:sz w:val="18"/>
                <w:szCs w:val="18"/>
              </w:rPr>
            </w:pPr>
            <w:r>
              <w:rPr>
                <w:rFonts w:hint="eastAsia" w:ascii="宋体" w:hAnsi="宋体" w:eastAsia="宋体" w:cs="Times New Roman"/>
                <w:kern w:val="0"/>
                <w:sz w:val="18"/>
                <w:szCs w:val="18"/>
              </w:rPr>
              <w:t>深圳站、深圳東站、筍崗站轄區站場日常保潔、深度保潔（含股道保潔）、高空保潔、折返保潔、春運、暑運及臨時突擊性任務的強化保潔，深圳站和深圳東站給水吸汙業務。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標包2</w:t>
            </w:r>
          </w:p>
        </w:tc>
        <w:tc>
          <w:tcPr>
            <w:tcW w:w="2235"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廣深港福田站、光明城站、虎門站、慶盛站保潔</w:t>
            </w:r>
          </w:p>
        </w:tc>
        <w:tc>
          <w:tcPr>
            <w:tcW w:w="5670" w:type="dxa"/>
            <w:vAlign w:val="center"/>
          </w:tcPr>
          <w:p>
            <w:pPr>
              <w:spacing w:line="360" w:lineRule="exact"/>
              <w:jc w:val="left"/>
              <w:rPr>
                <w:rFonts w:ascii="宋体" w:hAnsi="宋体" w:cs="Times New Roman"/>
                <w:kern w:val="0"/>
                <w:sz w:val="18"/>
                <w:szCs w:val="18"/>
              </w:rPr>
            </w:pPr>
            <w:r>
              <w:rPr>
                <w:rFonts w:hint="eastAsia" w:ascii="宋体" w:hAnsi="宋体" w:eastAsia="宋体" w:cs="Times New Roman"/>
                <w:kern w:val="0"/>
                <w:sz w:val="18"/>
                <w:szCs w:val="18"/>
              </w:rPr>
              <w:t>廣深港客運專線福田站、光明城站、虎門站、慶盛站轄區站場日常保潔、深度保潔（含股道保潔）、高空保潔、商業區域保潔、折返保潔、春運、暑運及臨時突擊性任務的強化保潔。</w:t>
            </w:r>
          </w:p>
        </w:tc>
      </w:tr>
    </w:tbl>
    <w:p>
      <w:pPr>
        <w:spacing w:line="336" w:lineRule="auto"/>
        <w:ind w:firstLine="420" w:firstLineChars="200"/>
        <w:jc w:val="left"/>
        <w:rPr>
          <w:rFonts w:ascii="宋体" w:hAnsi="宋体" w:cs="仿宋_GB2312"/>
          <w:snapToGrid w:val="0"/>
          <w:kern w:val="0"/>
        </w:rPr>
      </w:pPr>
      <w:r>
        <w:rPr>
          <w:rFonts w:hint="eastAsia" w:ascii="宋体" w:hAnsi="宋体" w:eastAsia="宋体" w:cs="仿宋_GB2312"/>
          <w:u w:val="single"/>
        </w:rPr>
        <w:t>競商人可對以上一個或多個標包進行競商，但是最多僅允許中標其中1個標包，優先中商標包1（專案服務內容、參數及要求詳見招商檔中“用戶需求書”部分）。</w:t>
      </w:r>
    </w:p>
    <w:p>
      <w:pPr>
        <w:spacing w:line="336" w:lineRule="auto"/>
        <w:ind w:firstLine="420" w:firstLineChars="200"/>
        <w:jc w:val="left"/>
        <w:rPr>
          <w:rFonts w:ascii="宋体" w:hAnsi="宋体"/>
        </w:rPr>
      </w:pPr>
      <w:r>
        <w:rPr>
          <w:rFonts w:hint="eastAsia" w:ascii="宋体" w:hAnsi="宋体" w:eastAsia="宋体" w:cs="仿宋_GB2312"/>
          <w:snapToGrid w:val="0"/>
          <w:kern w:val="0"/>
        </w:rPr>
        <w:t>2.服務時間</w:t>
      </w:r>
      <w:r>
        <w:rPr>
          <w:rFonts w:hint="eastAsia" w:ascii="宋体" w:hAnsi="宋体" w:eastAsia="宋体"/>
        </w:rPr>
        <w:t>：自合同生效日起為期一年。一年合同期滿後，服務品質評價結果為良好及以上且該專案年度保潔品質考核平均得分不少於 95 分的可續簽一年，最多續簽兩次。</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3.招商最高限價：</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559"/>
        <w:gridCol w:w="1559"/>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709"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包號</w:t>
            </w:r>
          </w:p>
        </w:tc>
        <w:tc>
          <w:tcPr>
            <w:tcW w:w="2552"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專案內容</w:t>
            </w:r>
          </w:p>
        </w:tc>
        <w:tc>
          <w:tcPr>
            <w:tcW w:w="1559"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單項招商最高限價（含稅，元</w:t>
            </w:r>
            <w:r>
              <w:rPr>
                <w:rFonts w:ascii="宋体" w:hAnsi="宋体" w:eastAsia="宋体"/>
                <w:sz w:val="18"/>
                <w:szCs w:val="18"/>
              </w:rPr>
              <w:t>/</w:t>
            </w:r>
            <w:r>
              <w:rPr>
                <w:rFonts w:hint="eastAsia" w:ascii="宋体" w:hAnsi="宋体" w:eastAsia="宋体"/>
                <w:sz w:val="18"/>
                <w:szCs w:val="18"/>
              </w:rPr>
              <w:t>年）</w:t>
            </w:r>
          </w:p>
        </w:tc>
        <w:tc>
          <w:tcPr>
            <w:tcW w:w="1559"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合計招商最高限價（含稅，元</w:t>
            </w:r>
            <w:r>
              <w:rPr>
                <w:rFonts w:ascii="宋体" w:hAnsi="宋体" w:eastAsia="宋体"/>
                <w:sz w:val="18"/>
                <w:szCs w:val="18"/>
              </w:rPr>
              <w:t>/</w:t>
            </w:r>
            <w:r>
              <w:rPr>
                <w:rFonts w:hint="eastAsia" w:ascii="宋体" w:hAnsi="宋体" w:eastAsia="宋体"/>
                <w:sz w:val="18"/>
                <w:szCs w:val="18"/>
              </w:rPr>
              <w:t>年）</w:t>
            </w:r>
          </w:p>
        </w:tc>
        <w:tc>
          <w:tcPr>
            <w:tcW w:w="709"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稅率</w:t>
            </w:r>
          </w:p>
        </w:tc>
        <w:tc>
          <w:tcPr>
            <w:tcW w:w="1559"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09" w:type="dxa"/>
            <w:vMerge w:val="restart"/>
            <w:vAlign w:val="center"/>
          </w:tcPr>
          <w:p>
            <w:pPr>
              <w:widowControl/>
              <w:spacing w:line="336" w:lineRule="auto"/>
              <w:jc w:val="center"/>
              <w:rPr>
                <w:rFonts w:ascii="宋体" w:hAnsi="宋体"/>
                <w:sz w:val="18"/>
                <w:szCs w:val="18"/>
              </w:rPr>
            </w:pPr>
            <w:r>
              <w:rPr>
                <w:rFonts w:hint="eastAsia" w:ascii="宋体" w:hAnsi="宋体" w:eastAsia="宋体" w:cs="Times New Roman"/>
                <w:kern w:val="0"/>
                <w:sz w:val="18"/>
                <w:szCs w:val="18"/>
              </w:rPr>
              <w:t>標包</w:t>
            </w:r>
            <w:r>
              <w:rPr>
                <w:rFonts w:hint="eastAsia" w:ascii="宋体" w:hAnsi="宋体" w:eastAsia="宋体"/>
                <w:sz w:val="18"/>
                <w:szCs w:val="18"/>
              </w:rPr>
              <w:t>1</w:t>
            </w: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深圳站日常保潔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2874075</w:t>
            </w:r>
          </w:p>
        </w:tc>
        <w:tc>
          <w:tcPr>
            <w:tcW w:w="1559" w:type="dxa"/>
            <w:vMerge w:val="restart"/>
            <w:vAlign w:val="center"/>
          </w:tcPr>
          <w:p>
            <w:pPr>
              <w:pStyle w:val="3"/>
              <w:keepNext/>
              <w:keepLines/>
              <w:spacing w:beforeLines="20" w:afterLines="20" w:line="336" w:lineRule="auto"/>
              <w:jc w:val="center"/>
              <w:textAlignment w:val="baseline"/>
              <w:outlineLvl w:val="1"/>
              <w:rPr>
                <w:rFonts w:ascii="宋体" w:hAnsi="宋体" w:cs="Calibri"/>
                <w:kern w:val="2"/>
                <w:sz w:val="18"/>
                <w:szCs w:val="18"/>
              </w:rPr>
            </w:pPr>
            <w:r>
              <w:rPr>
                <w:rFonts w:hint="eastAsia" w:ascii="宋体" w:hAnsi="宋体" w:eastAsia="宋体" w:cs="Calibri"/>
                <w:kern w:val="2"/>
                <w:sz w:val="18"/>
                <w:szCs w:val="18"/>
              </w:rPr>
              <w:t>7767587</w:t>
            </w:r>
          </w:p>
        </w:tc>
        <w:tc>
          <w:tcPr>
            <w:tcW w:w="709" w:type="dxa"/>
            <w:vMerge w:val="restart"/>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6%</w:t>
            </w:r>
          </w:p>
        </w:tc>
        <w:tc>
          <w:tcPr>
            <w:tcW w:w="1559" w:type="dxa"/>
            <w:vMerge w:val="restart"/>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折返保潔按2000趟標準組測算。含車內保潔、月臺側車外皮清洗最高限價138元/標準組；僅車內保潔最高限價70元/標準組。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深圳東站日常保潔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1953164</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pStyle w:val="3"/>
              <w:tabs>
                <w:tab w:val="left" w:pos="420"/>
                <w:tab w:val="left" w:pos="630"/>
                <w:tab w:val="left" w:pos="840"/>
              </w:tabs>
              <w:spacing w:after="0" w:line="336" w:lineRule="auto"/>
              <w:ind w:left="0" w:left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筍崗站日常保潔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248208</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pStyle w:val="3"/>
              <w:tabs>
                <w:tab w:val="left" w:pos="420"/>
                <w:tab w:val="left" w:pos="630"/>
                <w:tab w:val="left" w:pos="840"/>
              </w:tabs>
              <w:spacing w:after="0" w:line="336" w:lineRule="auto"/>
              <w:ind w:left="0" w:left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09" w:type="dxa"/>
            <w:vMerge w:val="continue"/>
            <w:vAlign w:val="center"/>
          </w:tcPr>
          <w:p>
            <w:pPr>
              <w:widowControl/>
              <w:spacing w:line="336" w:lineRule="auto"/>
              <w:jc w:val="center"/>
              <w:rPr>
                <w:rFonts w:ascii="宋体" w:hAnsi="宋体"/>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深圳站、深圳東站高空保潔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300000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pStyle w:val="3"/>
              <w:tabs>
                <w:tab w:val="left" w:pos="420"/>
                <w:tab w:val="left" w:pos="630"/>
                <w:tab w:val="left" w:pos="840"/>
              </w:tabs>
              <w:spacing w:after="0" w:line="336" w:lineRule="auto"/>
              <w:ind w:left="0" w:left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9" w:type="dxa"/>
            <w:vMerge w:val="continue"/>
            <w:vAlign w:val="center"/>
          </w:tcPr>
          <w:p>
            <w:pPr>
              <w:widowControl/>
              <w:spacing w:line="336" w:lineRule="auto"/>
              <w:jc w:val="center"/>
              <w:rPr>
                <w:rFonts w:ascii="宋体" w:hAnsi="宋体"/>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動車折返保潔</w:t>
            </w:r>
          </w:p>
        </w:tc>
        <w:tc>
          <w:tcPr>
            <w:tcW w:w="1559" w:type="dxa"/>
            <w:vAlign w:val="center"/>
          </w:tcPr>
          <w:p>
            <w:pPr>
              <w:keepNext/>
              <w:keepLines/>
              <w:spacing w:beforeLines="20" w:afterLines="20" w:line="336" w:lineRule="auto"/>
              <w:jc w:val="center"/>
              <w:textAlignment w:val="baseline"/>
              <w:outlineLvl w:val="1"/>
              <w:rPr>
                <w:rFonts w:ascii="宋体" w:hAnsi="宋体" w:cs="Times New Roman"/>
                <w:kern w:val="0"/>
                <w:sz w:val="18"/>
                <w:szCs w:val="18"/>
              </w:rPr>
            </w:pPr>
            <w:r>
              <w:rPr>
                <w:rFonts w:hint="eastAsia" w:ascii="宋体" w:hAnsi="宋体" w:eastAsia="宋体" w:cs="Times New Roman"/>
                <w:kern w:val="0"/>
                <w:sz w:val="18"/>
                <w:szCs w:val="18"/>
              </w:rPr>
              <w:t>276000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pStyle w:val="3"/>
              <w:tabs>
                <w:tab w:val="left" w:pos="420"/>
                <w:tab w:val="left" w:pos="630"/>
                <w:tab w:val="left" w:pos="840"/>
              </w:tabs>
              <w:spacing w:after="0" w:line="336" w:lineRule="auto"/>
              <w:ind w:left="0" w:left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dxa"/>
            <w:vMerge w:val="continue"/>
            <w:vAlign w:val="center"/>
          </w:tcPr>
          <w:p>
            <w:pPr>
              <w:widowControl/>
              <w:spacing w:line="336" w:lineRule="auto"/>
              <w:jc w:val="center"/>
              <w:rPr>
                <w:rFonts w:ascii="宋体" w:hAnsi="宋体"/>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列車給水吸汙</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2116140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pStyle w:val="3"/>
              <w:tabs>
                <w:tab w:val="left" w:pos="420"/>
                <w:tab w:val="left" w:pos="630"/>
                <w:tab w:val="left" w:pos="840"/>
              </w:tabs>
              <w:spacing w:after="0" w:line="336" w:lineRule="auto"/>
              <w:ind w:left="0" w:left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dxa"/>
            <w:vMerge w:val="restart"/>
            <w:vAlign w:val="center"/>
          </w:tcPr>
          <w:p>
            <w:pPr>
              <w:widowControl/>
              <w:spacing w:line="336" w:lineRule="auto"/>
              <w:jc w:val="center"/>
              <w:rPr>
                <w:rFonts w:ascii="宋体" w:hAnsi="宋体"/>
                <w:sz w:val="18"/>
                <w:szCs w:val="18"/>
              </w:rPr>
            </w:pPr>
            <w:r>
              <w:rPr>
                <w:rFonts w:hint="eastAsia" w:ascii="宋体" w:hAnsi="宋体" w:eastAsia="宋体" w:cs="Times New Roman"/>
                <w:kern w:val="0"/>
                <w:sz w:val="18"/>
                <w:szCs w:val="18"/>
              </w:rPr>
              <w:t>標包2</w:t>
            </w: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福田站日常保潔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3211529.6</w:t>
            </w:r>
          </w:p>
        </w:tc>
        <w:tc>
          <w:tcPr>
            <w:tcW w:w="1559" w:type="dxa"/>
            <w:vMerge w:val="restart"/>
            <w:vAlign w:val="center"/>
          </w:tcPr>
          <w:p>
            <w:pPr>
              <w:pStyle w:val="3"/>
              <w:keepNext/>
              <w:keepLines/>
              <w:spacing w:beforeLines="20" w:afterLines="20" w:line="336" w:lineRule="auto"/>
              <w:jc w:val="center"/>
              <w:textAlignment w:val="baseline"/>
              <w:outlineLvl w:val="1"/>
              <w:rPr>
                <w:rFonts w:ascii="宋体" w:hAnsi="宋体" w:cs="Calibri"/>
                <w:kern w:val="2"/>
                <w:sz w:val="18"/>
                <w:szCs w:val="18"/>
              </w:rPr>
            </w:pPr>
            <w:r>
              <w:rPr>
                <w:rFonts w:hint="eastAsia" w:ascii="宋体" w:hAnsi="宋体" w:eastAsia="宋体" w:cs="Calibri"/>
                <w:kern w:val="2"/>
                <w:sz w:val="18"/>
                <w:szCs w:val="18"/>
              </w:rPr>
              <w:t>7382266.28</w:t>
            </w:r>
          </w:p>
        </w:tc>
        <w:tc>
          <w:tcPr>
            <w:tcW w:w="709" w:type="dxa"/>
            <w:vMerge w:val="restart"/>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6%</w:t>
            </w:r>
          </w:p>
        </w:tc>
        <w:tc>
          <w:tcPr>
            <w:tcW w:w="1559" w:type="dxa"/>
            <w:vMerge w:val="restart"/>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折返保潔按6500趟標準組測算。均為僅車內保潔，最高限價70元/標準組。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光明城站、虎門站、慶盛站日常保潔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3275574.28</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福田站高空保潔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100000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光明城站、虎門站、慶盛站高空保潔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200000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商業保潔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140162.4</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709" w:type="dxa"/>
            <w:vMerge w:val="continue"/>
            <w:vAlign w:val="center"/>
          </w:tcPr>
          <w:p>
            <w:pPr>
              <w:widowControl/>
              <w:spacing w:line="336" w:lineRule="auto"/>
              <w:jc w:val="center"/>
              <w:rPr>
                <w:rFonts w:ascii="宋体" w:hAnsi="宋体" w:cs="Times New Roman"/>
                <w:kern w:val="0"/>
                <w:sz w:val="18"/>
                <w:szCs w:val="18"/>
              </w:rPr>
            </w:pPr>
          </w:p>
        </w:tc>
        <w:tc>
          <w:tcPr>
            <w:tcW w:w="2552" w:type="dxa"/>
            <w:vAlign w:val="center"/>
          </w:tcPr>
          <w:p>
            <w:pPr>
              <w:pStyle w:val="3"/>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動車折返保潔</w:t>
            </w:r>
          </w:p>
        </w:tc>
        <w:tc>
          <w:tcPr>
            <w:tcW w:w="1559"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455000</w:t>
            </w:r>
          </w:p>
        </w:tc>
        <w:tc>
          <w:tcPr>
            <w:tcW w:w="1559" w:type="dxa"/>
            <w:vMerge w:val="continue"/>
            <w:vAlign w:val="center"/>
          </w:tcPr>
          <w:p>
            <w:pPr>
              <w:pStyle w:val="3"/>
              <w:keepNext/>
              <w:keepLines/>
              <w:spacing w:beforeLines="20" w:afterLines="20" w:line="336" w:lineRule="auto"/>
              <w:jc w:val="center"/>
              <w:textAlignment w:val="baseline"/>
              <w:outlineLvl w:val="1"/>
              <w:rPr>
                <w:rFonts w:ascii="宋体" w:hAnsi="宋体"/>
                <w:b/>
                <w:bCs/>
                <w:sz w:val="18"/>
                <w:szCs w:val="18"/>
              </w:rPr>
            </w:pPr>
          </w:p>
        </w:tc>
        <w:tc>
          <w:tcPr>
            <w:tcW w:w="70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continue"/>
            <w:vAlign w:val="center"/>
          </w:tcPr>
          <w:p>
            <w:pPr>
              <w:keepNext/>
              <w:keepLines/>
              <w:spacing w:beforeLines="20" w:afterLines="20" w:line="336" w:lineRule="auto"/>
              <w:jc w:val="center"/>
              <w:textAlignment w:val="baseline"/>
              <w:outlineLvl w:val="1"/>
              <w:rPr>
                <w:rFonts w:ascii="宋体" w:hAnsi="宋体"/>
                <w:b/>
                <w:bCs/>
                <w:sz w:val="18"/>
                <w:szCs w:val="18"/>
              </w:rPr>
            </w:pPr>
          </w:p>
        </w:tc>
      </w:tr>
    </w:tbl>
    <w:p>
      <w:pPr>
        <w:spacing w:line="336" w:lineRule="auto"/>
        <w:ind w:firstLine="420" w:firstLineChars="200"/>
        <w:jc w:val="left"/>
        <w:rPr>
          <w:rFonts w:ascii="宋体" w:hAnsi="宋体" w:cs="Times New Roman"/>
        </w:rPr>
      </w:pPr>
      <w:r>
        <w:rPr>
          <w:rFonts w:hint="eastAsia" w:ascii="宋体" w:hAnsi="宋体" w:eastAsia="宋体" w:cs="仿宋_GB2312"/>
          <w:snapToGrid w:val="0"/>
          <w:kern w:val="0"/>
        </w:rPr>
        <w:t>競商人報價超過限價為無效競商，招商人將拒絕接受其競商。</w:t>
      </w:r>
    </w:p>
    <w:p>
      <w:pPr>
        <w:pStyle w:val="6"/>
        <w:numPr>
          <w:ilvl w:val="0"/>
          <w:numId w:val="1"/>
        </w:numPr>
        <w:spacing w:before="0" w:after="0" w:line="336" w:lineRule="auto"/>
        <w:jc w:val="left"/>
        <w:outlineLvl w:val="1"/>
        <w:rPr>
          <w:rFonts w:ascii="宋体" w:hAnsi="宋体" w:cs="黑体"/>
          <w:b w:val="0"/>
          <w:bCs w:val="0"/>
          <w:sz w:val="21"/>
          <w:szCs w:val="21"/>
        </w:rPr>
      </w:pPr>
      <w:bookmarkStart w:id="3" w:name="_Toc71292499"/>
      <w:r>
        <w:rPr>
          <w:rFonts w:hint="eastAsia" w:ascii="宋体" w:hAnsi="宋体" w:eastAsia="宋体" w:cs="黑体"/>
          <w:b w:val="0"/>
          <w:bCs w:val="0"/>
          <w:sz w:val="21"/>
          <w:szCs w:val="21"/>
        </w:rPr>
        <w:t>競商人資格要求</w:t>
      </w:r>
      <w:bookmarkEnd w:id="3"/>
    </w:p>
    <w:p>
      <w:pPr>
        <w:autoSpaceDE w:val="0"/>
        <w:autoSpaceDN w:val="0"/>
        <w:adjustRightInd w:val="0"/>
        <w:spacing w:line="336" w:lineRule="auto"/>
        <w:ind w:firstLine="420" w:firstLineChars="200"/>
        <w:jc w:val="left"/>
        <w:rPr>
          <w:rFonts w:ascii="宋体" w:hAnsi="宋体" w:cs="宋体"/>
          <w:i/>
          <w:iCs/>
        </w:rPr>
      </w:pPr>
      <w:r>
        <w:rPr>
          <w:rFonts w:hint="eastAsia" w:ascii="宋体" w:hAnsi="宋体" w:eastAsia="宋体" w:cs="宋体"/>
        </w:rPr>
        <w:t>1.競商人必須為在中華人民共和國境內註冊登記的</w:t>
      </w:r>
      <w:r>
        <w:rPr>
          <w:rFonts w:hint="eastAsia" w:ascii="宋体" w:hAnsi="宋体" w:eastAsia="宋体"/>
        </w:rPr>
        <w:t>獨立法人機構或其他組織</w:t>
      </w:r>
      <w:r>
        <w:rPr>
          <w:rFonts w:hint="eastAsia" w:ascii="宋体" w:hAnsi="宋体" w:eastAsia="宋体" w:cs="宋体"/>
        </w:rPr>
        <w:t>。</w:t>
      </w:r>
      <w:r>
        <w:rPr>
          <w:rFonts w:hint="eastAsia" w:ascii="宋体" w:hAnsi="宋体" w:eastAsia="宋体"/>
          <w:snapToGrid w:val="0"/>
          <w:szCs w:val="20"/>
        </w:rPr>
        <w:t>【提供營業執照影本】</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2.截止到競商檔遞交截止之日，競商人成立並運營滿2年。</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3.競商人應具備</w:t>
      </w:r>
      <w:r>
        <w:rPr>
          <w:rFonts w:hint="eastAsia" w:eastAsia="宋体"/>
        </w:rPr>
        <w:t>資質：</w:t>
      </w:r>
      <w:r>
        <w:rPr>
          <w:rFonts w:hint="eastAsia" w:ascii="宋体" w:hAnsi="宋体" w:eastAsia="宋体"/>
        </w:rPr>
        <w:t>環境衛生經營服務企業</w:t>
      </w:r>
      <w:r>
        <w:rPr>
          <w:rFonts w:ascii="宋体" w:hAnsi="宋体" w:eastAsia="宋体"/>
        </w:rPr>
        <w:t>A</w:t>
      </w:r>
      <w:r>
        <w:rPr>
          <w:rFonts w:hint="eastAsia" w:ascii="宋体" w:hAnsi="宋体" w:eastAsia="宋体"/>
        </w:rPr>
        <w:t>級資質證書，或市級以上（含市級）清潔相關行業協會頒發的清潔服務企業甲級證書（或相當於甲級），或中國清潔清洗行業等級資質國家一級證書（具有其中之一證書即可）</w:t>
      </w:r>
      <w:r>
        <w:rPr>
          <w:rFonts w:hint="eastAsia" w:ascii="宋体" w:hAnsi="宋体" w:eastAsia="宋体" w:cs="宋体"/>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4.競商人業績：競商人近三年(2019年11月至競商檔遞交截止之日止)承擔過至少一項</w:t>
      </w:r>
      <w:r>
        <w:rPr>
          <w:rFonts w:ascii="Arial" w:hAnsi="Arial" w:eastAsia="宋体" w:cs="Arial"/>
          <w:shd w:val="clear" w:color="auto" w:fill="FFFFFF"/>
        </w:rPr>
        <w:t>公共場所或者高鐵、普鐵、城軌、地鐵鐵路交通工具保潔服務業績，公共場所指民用機場、高鐵站、火車站、汽車站、公共文化場館、公園、辦公樓</w:t>
      </w:r>
      <w:r>
        <w:rPr>
          <w:rFonts w:hint="eastAsia" w:ascii="Arial" w:hAnsi="Arial" w:eastAsia="宋体" w:cs="Arial"/>
          <w:shd w:val="clear" w:color="auto" w:fill="FFFFFF"/>
        </w:rPr>
        <w:t>等</w:t>
      </w:r>
      <w:r>
        <w:rPr>
          <w:rFonts w:hint="eastAsia" w:ascii="宋体" w:hAnsi="宋体" w:eastAsia="宋体" w:cs="宋体"/>
        </w:rPr>
        <w:t>；參加標包</w:t>
      </w:r>
      <w:r>
        <w:rPr>
          <w:rFonts w:ascii="宋体" w:hAnsi="宋体" w:eastAsia="宋体" w:cs="宋体"/>
        </w:rPr>
        <w:t>1包件的競商人近三年需承擔過至少一項鐵路車站給水吸汙業務</w:t>
      </w:r>
      <w:r>
        <w:rPr>
          <w:rFonts w:hint="eastAsia" w:ascii="宋体" w:hAnsi="宋体" w:eastAsia="宋体" w:cs="宋体"/>
        </w:rPr>
        <w:t>。</w:t>
      </w:r>
      <w:r>
        <w:rPr>
          <w:rFonts w:hint="eastAsia" w:ascii="宋体" w:hAnsi="宋体" w:eastAsia="宋体"/>
        </w:rPr>
        <w:t>（須提供服務合同及驗收報告，或服務合同及業主證明等證明材料）</w:t>
      </w:r>
      <w:r>
        <w:rPr>
          <w:rFonts w:hint="eastAsia" w:ascii="宋体" w:hAnsi="宋体" w:eastAsia="宋体" w:cs="宋体"/>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5.競商人近兩年財務狀況良好，具有依法納稅的良好記錄，並具備一般納稅人資格，具備開具增值稅專用發票的能力；提供近兩年（2020年、2021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6.競商人須具有良好的社會信譽；競商人參加招商活動前三年內在經營活動中沒有被“列入經營異常名錄資訊”、“列入嚴重違法失信企業名單（黑名單）資訊”，提供2019年1月1日至競標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7.按規定為員工繳納社保，提供2022年其中1個月其中1個保潔服務專案員工社保繳納憑證。</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8.本招商專案不接受聯合體競商。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9.未在近兩年內（2020-2021年）發生重大服務品質事故或一般C類及以上安全事故。</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10.與招商人此前沒有任何事宜的糾紛，在中國鐵路廣州局集團有限公司管內沒有競商違規行為和合同履約違約行為，一年內沒有</w:t>
      </w:r>
      <w:r>
        <w:rPr>
          <w:rFonts w:eastAsia="宋体"/>
        </w:rPr>
        <w:t>保潔服務品質評價不合格專案</w:t>
      </w:r>
      <w:r>
        <w:rPr>
          <w:rFonts w:hint="eastAsia" w:ascii="宋体" w:hAnsi="宋体" w:eastAsia="宋体" w:cs="宋体"/>
        </w:rPr>
        <w:t>。</w:t>
      </w:r>
    </w:p>
    <w:p>
      <w:pPr>
        <w:pStyle w:val="6"/>
        <w:numPr>
          <w:ilvl w:val="0"/>
          <w:numId w:val="1"/>
        </w:numPr>
        <w:spacing w:before="0" w:after="0" w:line="336" w:lineRule="auto"/>
        <w:jc w:val="left"/>
        <w:outlineLvl w:val="1"/>
        <w:rPr>
          <w:rFonts w:ascii="宋体" w:hAnsi="宋体" w:cs="黑体"/>
          <w:b w:val="0"/>
          <w:bCs w:val="0"/>
          <w:sz w:val="21"/>
          <w:szCs w:val="21"/>
        </w:rPr>
      </w:pPr>
      <w:bookmarkStart w:id="4" w:name="_Toc71292500"/>
      <w:r>
        <w:rPr>
          <w:rFonts w:hint="eastAsia" w:ascii="宋体" w:hAnsi="宋体" w:eastAsia="宋体" w:cs="黑体"/>
          <w:b w:val="0"/>
          <w:bCs w:val="0"/>
          <w:sz w:val="21"/>
          <w:szCs w:val="21"/>
        </w:rPr>
        <w:t>競商報名及招商檔的獲取</w:t>
      </w:r>
      <w:bookmarkEnd w:id="4"/>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1.凡有意參加競商者，請於2022年</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1</w:t>
      </w:r>
      <w:r>
        <w:rPr>
          <w:rFonts w:hint="eastAsia" w:ascii="宋体" w:hAnsi="宋体" w:eastAsia="宋体" w:cs="宋体"/>
        </w:rPr>
        <w:t>日至</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9</w:t>
      </w:r>
      <w:r>
        <w:rPr>
          <w:rFonts w:hint="eastAsia" w:ascii="宋体" w:hAnsi="宋体" w:eastAsia="宋体" w:cs="宋体"/>
        </w:rPr>
        <w:t>日，每日上午 9 時00分至 11時00分，下午14時00分至16時00分（北京時間，下同），將企業營業執照影本、法人授權書、購買人身份證（及影本）、匯款憑證影本、招商檔購買登記表（招商公告附件一）、接收檔通知的郵箱及信件往來的郵寄地址發送至我司郵箱crmscgz2019@163.com此為獲取招商檔確認的重要依據。</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招商檔每個包件售價500元，售後不退。競商人須在購買招商檔前將招商檔款電匯、網匯（不接受個人匯款）至下述指定帳號，同時須在匯款單據上注明招商編號及購買包件號。競商人擬申請多個包件的，必須分別購買多個包件的招商檔。</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開戶名稱：中鐵物總國際招標有限公司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帳號：7005007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開戶銀行：交通銀行北京西單支行</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w:t>
      </w:r>
      <w:r>
        <w:rPr>
          <w:rFonts w:hint="eastAsia" w:ascii="宋体" w:hAnsi="宋体" w:eastAsia="宋体"/>
        </w:rPr>
        <w:t>若有效報名的競商人不足2家，將重新組織招商，已經報名參加了第一次招商的競商人，將免費獲得二次招商檔。</w:t>
      </w:r>
    </w:p>
    <w:p>
      <w:pPr>
        <w:pStyle w:val="6"/>
        <w:numPr>
          <w:ilvl w:val="0"/>
          <w:numId w:val="1"/>
        </w:numPr>
        <w:spacing w:before="0" w:after="0" w:line="336" w:lineRule="auto"/>
        <w:jc w:val="left"/>
        <w:outlineLvl w:val="1"/>
        <w:rPr>
          <w:rFonts w:ascii="宋体" w:hAnsi="宋体" w:cs="黑体"/>
          <w:b w:val="0"/>
          <w:bCs w:val="0"/>
          <w:sz w:val="21"/>
          <w:szCs w:val="21"/>
        </w:rPr>
      </w:pPr>
      <w:bookmarkStart w:id="5" w:name="_Toc71292501"/>
      <w:r>
        <w:rPr>
          <w:rFonts w:hint="eastAsia" w:ascii="宋体" w:hAnsi="宋体" w:eastAsia="宋体" w:cs="黑体"/>
          <w:b w:val="0"/>
          <w:bCs w:val="0"/>
          <w:sz w:val="21"/>
          <w:szCs w:val="21"/>
        </w:rPr>
        <w:t>競商檔的遞交</w:t>
      </w:r>
      <w:bookmarkEnd w:id="5"/>
    </w:p>
    <w:p>
      <w:pPr>
        <w:widowControl/>
        <w:spacing w:line="336" w:lineRule="auto"/>
        <w:ind w:right="-88" w:rightChars="-42" w:firstLine="420" w:firstLineChars="200"/>
        <w:rPr>
          <w:rFonts w:ascii="宋体" w:hAnsi="宋体" w:cs="Times New Roman"/>
        </w:rPr>
      </w:pPr>
      <w:r>
        <w:rPr>
          <w:rFonts w:hint="eastAsia" w:ascii="宋体" w:hAnsi="宋体" w:eastAsia="宋体" w:cs="仿宋_GB2312"/>
        </w:rPr>
        <w:t>1.遞交時間：</w:t>
      </w:r>
      <w:r>
        <w:rPr>
          <w:rFonts w:hint="eastAsia" w:ascii="宋体" w:hAnsi="宋体" w:eastAsia="宋体" w:cs="仿宋_GB2312"/>
          <w:snapToGrid w:val="0"/>
          <w:kern w:val="0"/>
        </w:rPr>
        <w:t>本項目遞交競商檔為2022年</w:t>
      </w:r>
      <w:r>
        <w:rPr>
          <w:rFonts w:hint="eastAsia" w:ascii="宋体" w:hAnsi="宋体" w:eastAsia="宋体" w:cs="宋体"/>
          <w:u w:val="single"/>
        </w:rPr>
        <w:t>12</w:t>
      </w:r>
      <w:r>
        <w:rPr>
          <w:rFonts w:hint="eastAsia" w:ascii="宋体" w:hAnsi="宋体" w:eastAsia="宋体" w:cs="仿宋_GB2312"/>
          <w:snapToGrid w:val="0"/>
          <w:kern w:val="0"/>
        </w:rPr>
        <w:t>月</w:t>
      </w:r>
      <w:r>
        <w:rPr>
          <w:rFonts w:hint="eastAsia" w:ascii="宋体" w:hAnsi="宋体" w:eastAsia="宋体" w:cs="宋体"/>
          <w:u w:val="single"/>
        </w:rPr>
        <w:t>21</w:t>
      </w:r>
      <w:r>
        <w:rPr>
          <w:rFonts w:hint="eastAsia" w:ascii="宋体" w:hAnsi="宋体" w:eastAsia="宋体" w:cs="仿宋_GB2312"/>
          <w:snapToGrid w:val="0"/>
          <w:kern w:val="0"/>
        </w:rPr>
        <w:t>日14 時00分至14時30分（北京時間）；遞交競商檔的截止時間（競商截止時間，同公開唱價時間）為2022年</w:t>
      </w:r>
      <w:r>
        <w:rPr>
          <w:rFonts w:hint="eastAsia" w:ascii="宋体" w:hAnsi="宋体" w:eastAsia="宋体" w:cs="宋体"/>
          <w:u w:val="single"/>
        </w:rPr>
        <w:t>12</w:t>
      </w:r>
      <w:r>
        <w:rPr>
          <w:rFonts w:hint="eastAsia" w:ascii="宋体" w:hAnsi="宋体" w:eastAsia="宋体" w:cs="仿宋_GB2312"/>
          <w:snapToGrid w:val="0"/>
          <w:kern w:val="0"/>
        </w:rPr>
        <w:t>月</w:t>
      </w:r>
      <w:r>
        <w:rPr>
          <w:rFonts w:hint="eastAsia" w:ascii="宋体" w:hAnsi="宋体" w:eastAsia="宋体" w:cs="宋体"/>
          <w:u w:val="single"/>
        </w:rPr>
        <w:t>21</w:t>
      </w:r>
      <w:r>
        <w:rPr>
          <w:rFonts w:hint="eastAsia" w:ascii="宋体" w:hAnsi="宋体" w:eastAsia="宋体" w:cs="仿宋_GB2312"/>
          <w:snapToGrid w:val="0"/>
          <w:kern w:val="0"/>
        </w:rPr>
        <w:t>日14時30分（北京時間）。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2.遞交地點：廣州市越秀區中山一路65號中國鐵物二樓。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3.逾期送達或者未送達指定遞交地點的競商檔</w:t>
      </w:r>
      <w:r>
        <w:rPr>
          <w:rFonts w:ascii="宋体" w:hAnsi="宋体" w:eastAsia="宋体" w:cs="仿宋_GB2312"/>
        </w:rPr>
        <w:t>,</w:t>
      </w:r>
      <w:r>
        <w:rPr>
          <w:rFonts w:hint="eastAsia" w:ascii="宋体" w:hAnsi="宋体" w:eastAsia="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bookmarkStart w:id="6" w:name="_Toc71292502"/>
      <w:r>
        <w:rPr>
          <w:rFonts w:hint="eastAsia" w:ascii="宋体" w:hAnsi="宋体" w:eastAsia="宋体" w:cs="黑体"/>
          <w:b w:val="0"/>
          <w:bCs w:val="0"/>
          <w:sz w:val="21"/>
          <w:szCs w:val="21"/>
        </w:rPr>
        <w:t>競商保證金的交納</w:t>
      </w:r>
      <w:bookmarkEnd w:id="6"/>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cs="仿宋_GB2312"/>
        </w:rPr>
        <w:t>參與業務競商須交納競商保證金，具體金額及要求見招商檔。未按期交納競商保證金的競商人視為不合格競商人</w:t>
      </w:r>
      <w:r>
        <w:rPr>
          <w:rFonts w:ascii="宋体" w:hAnsi="宋体" w:eastAsia="宋体" w:cs="仿宋_GB2312"/>
        </w:rPr>
        <w:t>,</w:t>
      </w:r>
      <w:r>
        <w:rPr>
          <w:rFonts w:hint="eastAsia" w:ascii="宋体" w:hAnsi="宋体" w:eastAsia="宋体" w:cs="仿宋_GB2312"/>
        </w:rPr>
        <w:t>不能參加招商評審會。</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發佈媒介</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rPr>
        <w:t>本次招商公告同時在</w:t>
      </w:r>
      <w:r>
        <w:rPr>
          <w:rFonts w:hint="eastAsia" w:ascii="宋体" w:hAnsi="宋体" w:eastAsia="宋体" w:cs="仿宋_GB2312"/>
        </w:rPr>
        <w:t>廣鐵招商網（廣鐵招商網網址：</w:t>
      </w:r>
      <w:r>
        <w:rPr>
          <w:rFonts w:ascii="宋体" w:hAnsi="宋体" w:eastAsia="宋体" w:cs="仿宋_GB2312"/>
        </w:rPr>
        <w:t>http://www.gzrailwaybiz.com.cn</w:t>
      </w:r>
      <w:r>
        <w:rPr>
          <w:rFonts w:hint="eastAsia" w:ascii="宋体" w:hAnsi="宋体" w:eastAsia="宋体" w:cs="仿宋_GB2312"/>
        </w:rPr>
        <w:t>）、</w:t>
      </w:r>
      <w:r>
        <w:rPr>
          <w:rFonts w:hint="eastAsia" w:ascii="宋体" w:hAnsi="宋体" w:eastAsia="宋体"/>
        </w:rPr>
        <w:t>中國鐵物電子招投標平臺網（</w:t>
      </w:r>
      <w:r>
        <w:rPr>
          <w:rFonts w:ascii="宋体" w:hAnsi="宋体" w:eastAsia="宋体"/>
        </w:rPr>
        <w:t>http://www.bidding-crmsc.com.cn/</w:t>
      </w:r>
      <w:r>
        <w:rPr>
          <w:rFonts w:hint="eastAsia" w:ascii="宋体" w:hAnsi="宋体" w:eastAsia="宋体"/>
        </w:rPr>
        <w:t>）、中國招標投標公共服務平臺（</w:t>
      </w:r>
      <w:r>
        <w:rPr>
          <w:rFonts w:ascii="宋体" w:hAnsi="宋体" w:eastAsia="宋体"/>
        </w:rPr>
        <w:t>http://www.cebpubservice.com/</w:t>
      </w:r>
      <w:r>
        <w:rPr>
          <w:rFonts w:hint="eastAsia" w:ascii="宋体" w:hAnsi="宋体" w:eastAsia="宋体"/>
        </w:rPr>
        <w:t>）以及廣深鐵路股份有限公司官網主頁（</w:t>
      </w:r>
      <w:r>
        <w:rPr>
          <w:rFonts w:ascii="宋体" w:hAnsi="宋体" w:eastAsia="宋体"/>
        </w:rPr>
        <w:t>http://www.gsrc.com/</w:t>
      </w:r>
      <w:r>
        <w:rPr>
          <w:rFonts w:hint="eastAsia" w:ascii="宋体" w:hAnsi="宋体" w:eastAsia="宋体"/>
        </w:rPr>
        <w:t>）上發佈。</w:t>
      </w:r>
    </w:p>
    <w:p>
      <w:pPr>
        <w:pStyle w:val="6"/>
        <w:numPr>
          <w:ilvl w:val="0"/>
          <w:numId w:val="1"/>
        </w:numPr>
        <w:spacing w:before="0" w:after="0" w:line="336" w:lineRule="auto"/>
        <w:jc w:val="left"/>
        <w:outlineLvl w:val="1"/>
        <w:rPr>
          <w:rFonts w:ascii="宋体" w:hAnsi="宋体" w:cs="黑体"/>
          <w:b w:val="0"/>
          <w:bCs w:val="0"/>
          <w:sz w:val="21"/>
          <w:szCs w:val="21"/>
        </w:rPr>
      </w:pPr>
      <w:bookmarkStart w:id="7" w:name="_Toc71292503"/>
      <w:r>
        <w:rPr>
          <w:rFonts w:hint="eastAsia" w:ascii="宋体" w:hAnsi="宋体" w:eastAsia="宋体" w:cs="黑体"/>
          <w:b w:val="0"/>
          <w:bCs w:val="0"/>
          <w:sz w:val="21"/>
          <w:szCs w:val="21"/>
        </w:rPr>
        <w:t>聯繫方式</w:t>
      </w:r>
      <w:bookmarkEnd w:id="7"/>
    </w:p>
    <w:p>
      <w:pPr>
        <w:spacing w:line="336" w:lineRule="auto"/>
        <w:ind w:firstLine="375" w:firstLineChars="179"/>
        <w:rPr>
          <w:rFonts w:ascii="宋体" w:hAnsi="宋体" w:cs="仿宋_GB2312"/>
        </w:rPr>
      </w:pPr>
      <w:r>
        <w:rPr>
          <w:rFonts w:hint="eastAsia" w:ascii="宋体" w:hAnsi="宋体" w:eastAsia="宋体" w:cs="仿宋_GB2312"/>
        </w:rPr>
        <w:t>招商人：廣深鐵路股份有限公司 深圳車站</w:t>
      </w:r>
    </w:p>
    <w:p>
      <w:pPr>
        <w:spacing w:line="336" w:lineRule="auto"/>
        <w:ind w:firstLine="375" w:firstLineChars="179"/>
        <w:rPr>
          <w:rFonts w:ascii="宋体" w:hAnsi="宋体" w:cs="仿宋_GB2312"/>
        </w:rPr>
      </w:pPr>
      <w:r>
        <w:rPr>
          <w:rFonts w:hint="eastAsia" w:ascii="宋体" w:hAnsi="宋体" w:eastAsia="宋体" w:cs="仿宋_GB2312"/>
        </w:rPr>
        <w:t>聯繫人：袁工</w:t>
      </w:r>
    </w:p>
    <w:p>
      <w:pPr>
        <w:spacing w:line="336" w:lineRule="auto"/>
        <w:ind w:firstLine="375" w:firstLineChars="179"/>
        <w:rPr>
          <w:rFonts w:ascii="宋体" w:hAnsi="宋体" w:cs="仿宋_GB2312"/>
        </w:rPr>
      </w:pPr>
      <w:r>
        <w:rPr>
          <w:rFonts w:hint="eastAsia" w:ascii="宋体" w:hAnsi="宋体" w:eastAsia="宋体" w:cs="仿宋_GB2312"/>
        </w:rPr>
        <w:t>聯繫電話：</w:t>
      </w:r>
      <w:r>
        <w:rPr>
          <w:rFonts w:ascii="宋体" w:hAnsi="宋体" w:eastAsia="宋体" w:cs="仿宋_GB2312"/>
        </w:rPr>
        <w:t>0755-6138</w:t>
      </w:r>
      <w:r>
        <w:rPr>
          <w:rFonts w:hint="eastAsia" w:ascii="宋体" w:hAnsi="宋体" w:eastAsia="宋体" w:cs="仿宋_GB2312"/>
        </w:rPr>
        <w:t>2215</w:t>
      </w:r>
    </w:p>
    <w:p>
      <w:pPr>
        <w:spacing w:line="336" w:lineRule="auto"/>
        <w:ind w:firstLine="375" w:firstLineChars="179"/>
        <w:rPr>
          <w:rFonts w:ascii="宋体" w:hAnsi="宋体" w:cs="仿宋_GB2312"/>
        </w:rPr>
      </w:pPr>
      <w:r>
        <w:rPr>
          <w:rFonts w:hint="eastAsia" w:ascii="宋体" w:hAnsi="宋体" w:eastAsia="宋体" w:cs="仿宋_GB2312"/>
        </w:rPr>
        <w:t>地址：</w:t>
      </w:r>
      <w:r>
        <w:rPr>
          <w:rFonts w:eastAsia="宋体" w:cs="仿宋_GB2312"/>
        </w:rPr>
        <w:t>深圳市羅湖區</w:t>
      </w:r>
      <w:r>
        <w:rPr>
          <w:rFonts w:hint="eastAsia" w:eastAsia="宋体" w:cs="仿宋_GB2312"/>
        </w:rPr>
        <w:t>建設路1</w:t>
      </w:r>
      <w:r>
        <w:rPr>
          <w:rFonts w:eastAsia="宋体" w:cs="仿宋_GB2312"/>
        </w:rPr>
        <w:t>號</w:t>
      </w:r>
    </w:p>
    <w:p>
      <w:pPr>
        <w:spacing w:line="336" w:lineRule="auto"/>
        <w:ind w:firstLine="375" w:firstLineChars="179"/>
        <w:rPr>
          <w:rFonts w:ascii="宋体" w:hAnsi="宋体" w:cs="仿宋_GB2312"/>
        </w:rPr>
      </w:pPr>
      <w:r>
        <w:rPr>
          <w:rFonts w:hint="eastAsia" w:ascii="宋体" w:hAnsi="宋体" w:eastAsia="宋体" w:cs="仿宋_GB2312"/>
        </w:rPr>
        <w:t>招商代理機構：中鐵物總國際招標有限公司</w:t>
      </w:r>
    </w:p>
    <w:p>
      <w:pPr>
        <w:spacing w:line="336" w:lineRule="auto"/>
        <w:ind w:firstLine="375" w:firstLineChars="179"/>
        <w:rPr>
          <w:rFonts w:ascii="宋体" w:hAnsi="宋体" w:cs="仿宋_GB2312"/>
        </w:rPr>
      </w:pPr>
      <w:r>
        <w:rPr>
          <w:rFonts w:hint="eastAsia" w:ascii="宋体" w:hAnsi="宋体" w:eastAsia="宋体" w:cs="仿宋_GB2312"/>
        </w:rPr>
        <w:t>聯繫人：郭工、靳工</w:t>
      </w:r>
    </w:p>
    <w:p>
      <w:pPr>
        <w:spacing w:line="336" w:lineRule="auto"/>
        <w:ind w:firstLine="375" w:firstLineChars="179"/>
        <w:rPr>
          <w:rFonts w:ascii="宋体" w:hAnsi="宋体" w:cs="仿宋_GB2312"/>
        </w:rPr>
      </w:pPr>
      <w:r>
        <w:rPr>
          <w:rFonts w:hint="eastAsia" w:ascii="宋体" w:hAnsi="宋体" w:eastAsia="宋体" w:cs="仿宋_GB2312"/>
        </w:rPr>
        <w:t>聯繫電話：18127447600、13076865531</w:t>
      </w:r>
    </w:p>
    <w:p>
      <w:pPr>
        <w:spacing w:line="336" w:lineRule="auto"/>
        <w:ind w:firstLine="375" w:firstLineChars="179"/>
        <w:rPr>
          <w:rFonts w:ascii="宋体" w:hAnsi="宋体" w:cs="Times New Roman"/>
        </w:rPr>
      </w:pPr>
      <w:r>
        <w:rPr>
          <w:rFonts w:hint="eastAsia" w:ascii="宋体" w:hAnsi="宋体" w:eastAsia="宋体" w:cs="仿宋_GB2312"/>
        </w:rPr>
        <w:t>地址：廣州市越秀區中山一路65號中國鐵物二樓</w:t>
      </w:r>
    </w:p>
    <w:p>
      <w:pPr>
        <w:widowControl/>
        <w:spacing w:line="336" w:lineRule="auto"/>
        <w:ind w:right="-334" w:rightChars="-159"/>
        <w:rPr>
          <w:rFonts w:ascii="宋体" w:hAnsi="宋体" w:cs="Times New Roman"/>
          <w:sz w:val="32"/>
          <w:szCs w:val="32"/>
        </w:rPr>
      </w:pPr>
    </w:p>
    <w:p>
      <w:pPr>
        <w:wordWrap w:val="0"/>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廣深鐵路股份有限公司 深圳車站</w:t>
      </w:r>
    </w:p>
    <w:p>
      <w:pPr>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2022年11月30日</w:t>
      </w:r>
    </w:p>
    <w:p>
      <w:r>
        <w:br w:type="page"/>
      </w:r>
    </w:p>
    <w:p/>
    <w:p>
      <w:pPr>
        <w:pStyle w:val="6"/>
        <w:spacing w:before="0" w:after="0" w:line="360" w:lineRule="auto"/>
        <w:ind w:firstLine="424" w:firstLineChars="202"/>
        <w:jc w:val="left"/>
        <w:outlineLvl w:val="1"/>
        <w:rPr>
          <w:rFonts w:ascii="宋体" w:hAnsi="宋体" w:cs="黑体"/>
          <w:b w:val="0"/>
          <w:bCs w:val="0"/>
          <w:sz w:val="21"/>
          <w:szCs w:val="21"/>
        </w:rPr>
      </w:pPr>
      <w:bookmarkStart w:id="8" w:name="_Toc71292504"/>
      <w:r>
        <w:rPr>
          <w:rFonts w:hint="eastAsia" w:ascii="宋体" w:hAnsi="宋体" w:eastAsia="宋体" w:cs="黑体"/>
          <w:b w:val="0"/>
          <w:bCs w:val="0"/>
          <w:sz w:val="21"/>
          <w:szCs w:val="21"/>
        </w:rPr>
        <w:t>公告附件一</w:t>
      </w:r>
      <w:bookmarkEnd w:id="8"/>
    </w:p>
    <w:p>
      <w:pPr>
        <w:pStyle w:val="3"/>
        <w:spacing w:before="120"/>
        <w:ind w:left="0" w:leftChars="0" w:firstLine="720"/>
        <w:jc w:val="center"/>
        <w:rPr>
          <w:rFonts w:ascii="宋体" w:hAnsi="宋体" w:cs="宋体"/>
          <w:sz w:val="28"/>
          <w:szCs w:val="36"/>
        </w:rPr>
      </w:pPr>
      <w:r>
        <w:rPr>
          <w:rFonts w:hint="eastAsia" w:ascii="宋体" w:hAnsi="宋体" w:eastAsia="宋体" w:cs="宋体"/>
          <w:sz w:val="28"/>
          <w:szCs w:val="36"/>
        </w:rPr>
        <w:t>招商檔購買登記表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MGNmYzRjNGMwMDliMjc0YTFhMzU4NTllNGY4NmIifQ=="/>
  </w:docVars>
  <w:rsids>
    <w:rsidRoot w:val="008750E2"/>
    <w:rsid w:val="00031824"/>
    <w:rsid w:val="000E0A2A"/>
    <w:rsid w:val="001876C2"/>
    <w:rsid w:val="002014F8"/>
    <w:rsid w:val="00205E8C"/>
    <w:rsid w:val="004C3BCB"/>
    <w:rsid w:val="004E0AD8"/>
    <w:rsid w:val="00666CD7"/>
    <w:rsid w:val="00737559"/>
    <w:rsid w:val="00746A2C"/>
    <w:rsid w:val="008750E2"/>
    <w:rsid w:val="00A549E7"/>
    <w:rsid w:val="00CA6D01"/>
    <w:rsid w:val="00CB6309"/>
    <w:rsid w:val="00D73853"/>
    <w:rsid w:val="00DF5C50"/>
    <w:rsid w:val="00E32AD7"/>
    <w:rsid w:val="00E46FCF"/>
    <w:rsid w:val="00E90CBE"/>
    <w:rsid w:val="00E92A5D"/>
    <w:rsid w:val="00F4351D"/>
    <w:rsid w:val="7BD93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sz w:val="18"/>
      <w:szCs w:val="18"/>
    </w:rPr>
  </w:style>
  <w:style w:type="paragraph" w:styleId="3">
    <w:name w:val="Body Text Indent"/>
    <w:basedOn w:val="1"/>
    <w:link w:val="11"/>
    <w:qFormat/>
    <w:uiPriority w:val="99"/>
    <w:pPr>
      <w:spacing w:after="120"/>
      <w:ind w:left="420" w:leftChars="200"/>
    </w:pPr>
    <w:rPr>
      <w:rFonts w:cs="Times New Roman"/>
      <w:kern w:val="0"/>
      <w:sz w:val="20"/>
      <w:szCs w:val="24"/>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kern w:val="0"/>
      <w:sz w:val="20"/>
      <w:szCs w:val="24"/>
    </w:rPr>
  </w:style>
  <w:style w:type="character" w:customStyle="1" w:styleId="12">
    <w:name w:val="标题 Char"/>
    <w:basedOn w:val="8"/>
    <w:link w:val="6"/>
    <w:qFormat/>
    <w:uiPriority w:val="0"/>
    <w:rPr>
      <w:rFonts w:ascii="Cambria" w:hAnsi="Cambria" w:eastAsia="宋体" w:cs="Times New Roman"/>
      <w:b/>
      <w:bCs/>
      <w:sz w:val="32"/>
      <w:szCs w:val="32"/>
    </w:rPr>
  </w:style>
  <w:style w:type="character" w:customStyle="1" w:styleId="13">
    <w:name w:val="文档结构图 Char"/>
    <w:basedOn w:val="8"/>
    <w:link w:val="2"/>
    <w:semiHidden/>
    <w:uiPriority w:val="99"/>
    <w:rPr>
      <w:rFonts w:ascii="宋体" w:hAnsi="Times New Roman" w:eastAsia="宋体" w:cs="Calibri"/>
      <w:sz w:val="18"/>
      <w:szCs w:val="18"/>
    </w:rPr>
  </w:style>
  <w:style w:type="character" w:customStyle="1" w:styleId="14">
    <w:name w:val="正文文本缩进 Char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2699</Words>
  <Characters>3094</Characters>
  <Lines>23</Lines>
  <Paragraphs>6</Paragraphs>
  <TotalTime>16</TotalTime>
  <ScaleCrop>false</ScaleCrop>
  <LinksUpToDate>false</LinksUpToDate>
  <CharactersWithSpaces>3135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靳添添</dc:creator>
  <cp:lastModifiedBy>lenovo</cp:lastModifiedBy>
  <dcterms:modified xsi:type="dcterms:W3CDTF">2022-11-30T09:53:48Z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CEF26B1F376B40BC83D3CE13FDEDD938</vt:lpwstr>
  </property>
</Properties>
</file>