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13" w:rsidRDefault="002A2383">
      <w:pPr>
        <w:jc w:val="center"/>
        <w:rPr>
          <w:rFonts w:ascii="宋体" w:hAnsi="宋体" w:cs="宋体"/>
          <w:b/>
          <w:bCs/>
          <w:sz w:val="32"/>
          <w:szCs w:val="36"/>
        </w:rPr>
      </w:pPr>
      <w:bookmarkStart w:id="0" w:name="_Toc517102950"/>
      <w:r w:rsidRPr="002A2383">
        <w:rPr>
          <w:rFonts w:ascii="宋体" w:eastAsia="PMingLiU" w:hAnsi="宋体" w:cs="宋体" w:hint="eastAsia"/>
          <w:b/>
          <w:bCs/>
          <w:sz w:val="32"/>
          <w:szCs w:val="36"/>
          <w:lang w:eastAsia="zh-TW"/>
        </w:rPr>
        <w:t>廣深鐵路股份有限公司廣州車站“廣州車站穗深城際車站保潔服務”（招標編號：</w:t>
      </w:r>
      <w:r w:rsidRPr="002A2383">
        <w:rPr>
          <w:rFonts w:ascii="宋体" w:eastAsia="PMingLiU" w:hAnsi="宋体" w:cs="宋体"/>
          <w:b/>
          <w:bCs/>
          <w:sz w:val="32"/>
          <w:szCs w:val="36"/>
          <w:lang w:eastAsia="zh-TW"/>
        </w:rPr>
        <w:t>ZBDL-2024-55</w:t>
      </w:r>
      <w:r w:rsidRPr="002A2383">
        <w:rPr>
          <w:rFonts w:ascii="宋体" w:eastAsia="PMingLiU" w:hAnsi="宋体" w:cs="宋体" w:hint="eastAsia"/>
          <w:b/>
          <w:bCs/>
          <w:sz w:val="32"/>
          <w:szCs w:val="36"/>
          <w:lang w:eastAsia="zh-TW"/>
        </w:rPr>
        <w:t>）專案招標公告</w:t>
      </w:r>
    </w:p>
    <w:p w:rsidR="00A10B13" w:rsidRDefault="002A2383">
      <w:pPr>
        <w:pStyle w:val="2"/>
        <w:snapToGrid w:val="0"/>
        <w:spacing w:before="0" w:after="0" w:line="360" w:lineRule="auto"/>
        <w:jc w:val="both"/>
        <w:rPr>
          <w:rFonts w:ascii="Times New Roman" w:hAnsi="Times New Roman"/>
          <w:kern w:val="2"/>
        </w:rPr>
      </w:pPr>
      <w:bookmarkStart w:id="1" w:name="_Toc153208763"/>
      <w:bookmarkStart w:id="2" w:name="_Toc152930391"/>
      <w:bookmarkStart w:id="3" w:name="_Toc10427"/>
      <w:bookmarkStart w:id="4" w:name="_Toc25620"/>
      <w:bookmarkStart w:id="5" w:name="_Toc2388"/>
      <w:bookmarkStart w:id="6" w:name="_Toc1219"/>
      <w:bookmarkStart w:id="7" w:name="_Toc27592"/>
      <w:bookmarkStart w:id="8" w:name="_Toc13814"/>
      <w:r w:rsidRPr="002A2383">
        <w:rPr>
          <w:rFonts w:ascii="Times New Roman" w:eastAsia="PMingLiU" w:hAnsi="Times New Roman"/>
          <w:kern w:val="2"/>
          <w:lang w:eastAsia="zh-TW"/>
        </w:rPr>
        <w:t>1</w:t>
      </w:r>
      <w:r w:rsidRPr="002A2383">
        <w:rPr>
          <w:rFonts w:ascii="Times New Roman" w:eastAsia="PMingLiU" w:hAnsi="Times New Roman" w:hint="eastAsia"/>
          <w:kern w:val="2"/>
          <w:lang w:eastAsia="zh-TW"/>
        </w:rPr>
        <w:t>．</w:t>
      </w:r>
      <w:bookmarkEnd w:id="0"/>
      <w:bookmarkEnd w:id="1"/>
      <w:bookmarkEnd w:id="2"/>
      <w:bookmarkEnd w:id="3"/>
      <w:bookmarkEnd w:id="4"/>
      <w:bookmarkEnd w:id="5"/>
      <w:bookmarkEnd w:id="6"/>
      <w:bookmarkEnd w:id="7"/>
      <w:bookmarkEnd w:id="8"/>
      <w:r w:rsidRPr="002A2383">
        <w:rPr>
          <w:rFonts w:ascii="Times New Roman" w:eastAsia="PMingLiU" w:hAnsi="Times New Roman" w:hint="eastAsia"/>
          <w:kern w:val="2"/>
          <w:lang w:eastAsia="zh-TW"/>
        </w:rPr>
        <w:t>招標條件</w:t>
      </w:r>
    </w:p>
    <w:p w:rsidR="00A10B13" w:rsidRDefault="002A2383">
      <w:pPr>
        <w:tabs>
          <w:tab w:val="left" w:pos="360"/>
        </w:tabs>
        <w:ind w:firstLine="440"/>
        <w:rPr>
          <w:rFonts w:cs="Times New Roman"/>
          <w:szCs w:val="21"/>
          <w:lang w:eastAsia="zh-TW"/>
        </w:rPr>
      </w:pPr>
      <w:r w:rsidRPr="002A2383">
        <w:rPr>
          <w:rFonts w:eastAsia="PMingLiU" w:cs="Times New Roman" w:hint="eastAsia"/>
          <w:szCs w:val="21"/>
          <w:lang w:eastAsia="zh-TW"/>
        </w:rPr>
        <w:t>本招標項目“廣州車站穗深城際車站保潔服務”招標人為廣深鐵路股份有限公司廣州車站，招標專案資金已落實。該項目已具備招標條件，現對“廣州車站穗深城際車站保潔服務”專案進行公開招標。</w:t>
      </w:r>
    </w:p>
    <w:p w:rsidR="00A10B13" w:rsidRDefault="002A2383">
      <w:pPr>
        <w:pStyle w:val="2"/>
        <w:snapToGrid w:val="0"/>
        <w:spacing w:before="0" w:after="0" w:line="360" w:lineRule="auto"/>
        <w:jc w:val="both"/>
        <w:rPr>
          <w:rFonts w:ascii="宋体" w:hAnsi="宋体" w:cs="宋体"/>
          <w:b w:val="0"/>
          <w:kern w:val="2"/>
          <w:sz w:val="21"/>
          <w:szCs w:val="21"/>
        </w:rPr>
      </w:pPr>
      <w:bookmarkStart w:id="9" w:name="_Toc517102951"/>
      <w:bookmarkStart w:id="10" w:name="_Toc29629"/>
      <w:bookmarkStart w:id="11" w:name="_Toc152930392"/>
      <w:bookmarkStart w:id="12" w:name="_Toc25733"/>
      <w:bookmarkStart w:id="13" w:name="_Toc4248"/>
      <w:bookmarkStart w:id="14" w:name="_Toc13432"/>
      <w:bookmarkStart w:id="15" w:name="_Toc153208764"/>
      <w:bookmarkStart w:id="16" w:name="_Toc6221"/>
      <w:bookmarkStart w:id="17" w:name="_Toc32357"/>
      <w:r w:rsidRPr="002A2383">
        <w:rPr>
          <w:rFonts w:ascii="Times New Roman" w:eastAsia="PMingLiU" w:hAnsi="Times New Roman"/>
          <w:kern w:val="2"/>
          <w:lang w:eastAsia="zh-TW"/>
        </w:rPr>
        <w:t>2</w:t>
      </w:r>
      <w:r w:rsidRPr="002A2383">
        <w:rPr>
          <w:rFonts w:ascii="Times New Roman" w:eastAsia="PMingLiU" w:hAnsi="Times New Roman" w:hint="eastAsia"/>
          <w:kern w:val="2"/>
          <w:lang w:eastAsia="zh-TW"/>
        </w:rPr>
        <w:t>．</w:t>
      </w:r>
      <w:bookmarkEnd w:id="9"/>
      <w:bookmarkEnd w:id="10"/>
      <w:bookmarkEnd w:id="11"/>
      <w:bookmarkEnd w:id="12"/>
      <w:bookmarkEnd w:id="13"/>
      <w:bookmarkEnd w:id="14"/>
      <w:bookmarkEnd w:id="15"/>
      <w:bookmarkEnd w:id="16"/>
      <w:bookmarkEnd w:id="17"/>
      <w:r w:rsidRPr="002A2383">
        <w:rPr>
          <w:rFonts w:ascii="Times New Roman" w:eastAsia="PMingLiU" w:hAnsi="Times New Roman" w:hint="eastAsia"/>
          <w:kern w:val="2"/>
          <w:lang w:eastAsia="zh-TW"/>
        </w:rPr>
        <w:t>專案概況與招標範圍</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 xml:space="preserve">2.1 </w:t>
      </w:r>
      <w:r w:rsidRPr="002A2383">
        <w:rPr>
          <w:rFonts w:ascii="宋体" w:eastAsia="PMingLiU" w:hAnsi="宋体" w:cs="宋体" w:hint="eastAsia"/>
          <w:szCs w:val="21"/>
          <w:lang w:eastAsia="zh-TW"/>
        </w:rPr>
        <w:t>本次招標共</w:t>
      </w:r>
      <w:r w:rsidRPr="002A2383">
        <w:rPr>
          <w:rFonts w:ascii="宋体" w:eastAsia="PMingLiU" w:hAnsi="宋体" w:cs="宋体"/>
          <w:szCs w:val="21"/>
          <w:lang w:eastAsia="zh-TW"/>
        </w:rPr>
        <w:t>1</w:t>
      </w:r>
      <w:r w:rsidRPr="002A2383">
        <w:rPr>
          <w:rFonts w:ascii="宋体" w:eastAsia="PMingLiU" w:hAnsi="宋体" w:cs="宋体" w:hint="eastAsia"/>
          <w:szCs w:val="21"/>
          <w:lang w:eastAsia="zh-TW"/>
        </w:rPr>
        <w:t>個包件，</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 xml:space="preserve">2.2 </w:t>
      </w:r>
      <w:r w:rsidRPr="002A2383">
        <w:rPr>
          <w:rFonts w:ascii="宋体" w:eastAsia="PMingLiU" w:hAnsi="宋体" w:cs="宋体" w:hint="eastAsia"/>
          <w:szCs w:val="21"/>
          <w:lang w:eastAsia="zh-TW"/>
        </w:rPr>
        <w:t>採購內容包括：廣州車站穗深城際線車站（</w:t>
      </w:r>
      <w:r w:rsidRPr="002A2383">
        <w:rPr>
          <w:rFonts w:ascii="宋体" w:eastAsia="PMingLiU" w:hAnsi="宋体" w:cs="宋体"/>
          <w:szCs w:val="21"/>
          <w:lang w:eastAsia="zh-TW"/>
        </w:rPr>
        <w:t>15</w:t>
      </w:r>
      <w:r w:rsidRPr="002A2383">
        <w:rPr>
          <w:rFonts w:ascii="宋体" w:eastAsia="PMingLiU" w:hAnsi="宋体" w:cs="宋体" w:hint="eastAsia"/>
          <w:szCs w:val="21"/>
          <w:lang w:eastAsia="zh-TW"/>
        </w:rPr>
        <w:t>個站：新塘南、中堂、望牛墩、東莞西、洪梅、東莞港、長安西、長安、沙井西、福海西、厚街、虎門北、虎門東、深圳機場北、深圳機場）保潔服務。</w:t>
      </w:r>
    </w:p>
    <w:p w:rsidR="00A10B13" w:rsidRDefault="002A2383">
      <w:pPr>
        <w:tabs>
          <w:tab w:val="left" w:pos="360"/>
        </w:tabs>
        <w:ind w:firstLine="440"/>
        <w:rPr>
          <w:rFonts w:ascii="宋体" w:hAnsi="宋体" w:cs="宋体"/>
          <w:szCs w:val="21"/>
          <w:lang w:eastAsia="zh-TW"/>
        </w:rPr>
      </w:pPr>
      <w:r w:rsidRPr="002A2383">
        <w:rPr>
          <w:rFonts w:ascii="宋体" w:eastAsia="PMingLiU" w:hAnsi="宋体" w:cs="宋体"/>
          <w:szCs w:val="21"/>
          <w:lang w:eastAsia="zh-TW"/>
        </w:rPr>
        <w:t xml:space="preserve">2.3 </w:t>
      </w:r>
      <w:r w:rsidRPr="002A2383">
        <w:rPr>
          <w:rFonts w:ascii="宋体" w:eastAsia="PMingLiU" w:hAnsi="宋体" w:cs="宋体" w:hint="eastAsia"/>
          <w:szCs w:val="21"/>
          <w:lang w:eastAsia="zh-TW"/>
        </w:rPr>
        <w:t>服務期限：自簽訂之日起為期一年。一年合同期滿後，根據服務品質評定結果可續簽兩次。</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 xml:space="preserve">2.4 </w:t>
      </w:r>
      <w:r w:rsidRPr="002A2383">
        <w:rPr>
          <w:rFonts w:ascii="宋体" w:eastAsia="PMingLiU" w:hAnsi="宋体" w:cs="宋体" w:hint="eastAsia"/>
          <w:szCs w:val="21"/>
          <w:lang w:eastAsia="zh-TW"/>
        </w:rPr>
        <w:t>採購預算：詳見第五章供貨要求。</w:t>
      </w:r>
    </w:p>
    <w:p w:rsidR="00A10B13" w:rsidRDefault="002A2383">
      <w:pPr>
        <w:pStyle w:val="2"/>
        <w:snapToGrid w:val="0"/>
        <w:spacing w:before="0" w:after="0" w:line="360" w:lineRule="auto"/>
        <w:jc w:val="both"/>
        <w:rPr>
          <w:rFonts w:ascii="Times New Roman" w:hAnsi="Times New Roman"/>
          <w:kern w:val="2"/>
        </w:rPr>
      </w:pPr>
      <w:bookmarkStart w:id="18" w:name="_Toc10071"/>
      <w:bookmarkStart w:id="19" w:name="_Toc153208765"/>
      <w:bookmarkStart w:id="20" w:name="_Toc5358"/>
      <w:bookmarkStart w:id="21" w:name="_Toc26005"/>
      <w:bookmarkStart w:id="22" w:name="_Toc152930393"/>
      <w:bookmarkStart w:id="23" w:name="_Toc517102952"/>
      <w:bookmarkStart w:id="24" w:name="_Toc27517"/>
      <w:bookmarkStart w:id="25" w:name="_Toc27139"/>
      <w:bookmarkStart w:id="26" w:name="_Toc27329"/>
      <w:r w:rsidRPr="002A2383">
        <w:rPr>
          <w:rFonts w:ascii="Times New Roman" w:eastAsia="PMingLiU" w:hAnsi="Times New Roman"/>
          <w:kern w:val="2"/>
          <w:lang w:eastAsia="zh-TW"/>
        </w:rPr>
        <w:t>3</w:t>
      </w:r>
      <w:r w:rsidRPr="002A2383">
        <w:rPr>
          <w:rFonts w:ascii="Times New Roman" w:eastAsia="PMingLiU" w:hAnsi="Times New Roman" w:hint="eastAsia"/>
          <w:kern w:val="2"/>
          <w:lang w:eastAsia="zh-TW"/>
        </w:rPr>
        <w:t>．</w:t>
      </w:r>
      <w:bookmarkEnd w:id="18"/>
      <w:bookmarkEnd w:id="19"/>
      <w:bookmarkEnd w:id="20"/>
      <w:bookmarkEnd w:id="21"/>
      <w:bookmarkEnd w:id="22"/>
      <w:bookmarkEnd w:id="23"/>
      <w:bookmarkEnd w:id="24"/>
      <w:bookmarkEnd w:id="25"/>
      <w:bookmarkEnd w:id="26"/>
      <w:r w:rsidRPr="002A2383">
        <w:rPr>
          <w:rFonts w:ascii="Times New Roman" w:eastAsia="PMingLiU" w:hAnsi="Times New Roman" w:hint="eastAsia"/>
          <w:kern w:val="2"/>
          <w:lang w:eastAsia="zh-TW"/>
        </w:rPr>
        <w:t>投標人資格要求</w:t>
      </w:r>
    </w:p>
    <w:p w:rsidR="00A10B13" w:rsidRDefault="002A2383">
      <w:pPr>
        <w:tabs>
          <w:tab w:val="left" w:pos="360"/>
        </w:tabs>
        <w:ind w:firstLine="440"/>
        <w:rPr>
          <w:rFonts w:ascii="宋体" w:hAnsi="宋体" w:cs="宋体"/>
          <w:szCs w:val="21"/>
        </w:rPr>
      </w:pPr>
      <w:bookmarkStart w:id="27" w:name="_Toc88550919"/>
      <w:bookmarkStart w:id="28" w:name="_Toc152930394"/>
      <w:bookmarkStart w:id="29" w:name="_Toc153208766"/>
      <w:r w:rsidRPr="002A2383">
        <w:rPr>
          <w:rFonts w:ascii="宋体" w:eastAsia="PMingLiU" w:hAnsi="宋体" w:cs="宋体"/>
          <w:szCs w:val="21"/>
          <w:lang w:eastAsia="zh-TW"/>
        </w:rPr>
        <w:t>3.1</w:t>
      </w:r>
      <w:r w:rsidRPr="002A2383">
        <w:rPr>
          <w:rFonts w:ascii="宋体" w:eastAsia="PMingLiU" w:hAnsi="宋体" w:cs="宋体" w:hint="eastAsia"/>
          <w:szCs w:val="21"/>
          <w:lang w:eastAsia="zh-TW"/>
        </w:rPr>
        <w:t>投標人須在中華人民共和國境內合法註冊、具有獨立法人資格，具備一般納稅人資格，營業範圍符合本次服務招標要求，並未被“信用中國網站”（</w:t>
      </w:r>
      <w:r w:rsidRPr="002A2383">
        <w:rPr>
          <w:rFonts w:ascii="宋体" w:eastAsia="PMingLiU" w:hAnsi="宋体" w:cs="宋体"/>
          <w:szCs w:val="21"/>
          <w:lang w:eastAsia="zh-TW"/>
        </w:rPr>
        <w:t>www.creditchina.gov.cn</w:t>
      </w:r>
      <w:r w:rsidRPr="002A2383">
        <w:rPr>
          <w:rFonts w:ascii="宋体" w:eastAsia="PMingLiU" w:hAnsi="宋体" w:cs="宋体" w:hint="eastAsia"/>
          <w:szCs w:val="21"/>
          <w:lang w:eastAsia="zh-TW"/>
        </w:rPr>
        <w:t>）公示為失信被執行人，以投標截止日在“信用中國”網站（</w:t>
      </w:r>
      <w:r w:rsidRPr="002A2383">
        <w:rPr>
          <w:rFonts w:ascii="宋体" w:eastAsia="PMingLiU" w:hAnsi="宋体" w:cs="宋体"/>
          <w:szCs w:val="21"/>
          <w:lang w:eastAsia="zh-TW"/>
        </w:rPr>
        <w:t>www.creditchina.gov.cn</w:t>
      </w:r>
      <w:r w:rsidRPr="002A2383">
        <w:rPr>
          <w:rFonts w:ascii="宋体" w:eastAsia="PMingLiU" w:hAnsi="宋体" w:cs="宋体" w:hint="eastAsia"/>
          <w:szCs w:val="21"/>
          <w:lang w:eastAsia="zh-TW"/>
        </w:rPr>
        <w:t>）查詢結果作為評標時的判斷依據。</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3.2</w:t>
      </w:r>
      <w:r w:rsidRPr="002A2383">
        <w:rPr>
          <w:rFonts w:ascii="宋体" w:eastAsia="PMingLiU" w:hAnsi="宋体" w:cs="宋体" w:hint="eastAsia"/>
          <w:szCs w:val="21"/>
          <w:lang w:eastAsia="zh-TW"/>
        </w:rPr>
        <w:t>本次招標不接受聯合體投標。</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3.3</w:t>
      </w:r>
      <w:r w:rsidRPr="002A2383">
        <w:rPr>
          <w:rFonts w:ascii="宋体" w:eastAsia="PMingLiU" w:hAnsi="宋体" w:cs="宋体" w:hint="eastAsia"/>
          <w:szCs w:val="21"/>
          <w:lang w:eastAsia="zh-TW"/>
        </w:rPr>
        <w:t>具有省級以上清潔服務行業甲級（壹級）資質或中國清潔清洗行業等級壹級資質。</w:t>
      </w:r>
    </w:p>
    <w:p w:rsidR="00A10B13" w:rsidRDefault="002A2383">
      <w:pPr>
        <w:pStyle w:val="2"/>
        <w:snapToGrid w:val="0"/>
        <w:spacing w:before="0" w:after="0" w:line="360" w:lineRule="auto"/>
        <w:jc w:val="both"/>
        <w:rPr>
          <w:rFonts w:ascii="Times New Roman" w:hAnsi="Times New Roman"/>
          <w:kern w:val="2"/>
        </w:rPr>
      </w:pPr>
      <w:bookmarkStart w:id="30" w:name="_Toc8302"/>
      <w:bookmarkStart w:id="31" w:name="_Toc27710"/>
      <w:bookmarkStart w:id="32" w:name="_Toc20741"/>
      <w:bookmarkStart w:id="33" w:name="_Toc9534"/>
      <w:bookmarkStart w:id="34" w:name="_Toc19189"/>
      <w:bookmarkStart w:id="35" w:name="_Toc14413"/>
      <w:r w:rsidRPr="002A2383">
        <w:rPr>
          <w:rFonts w:ascii="Times New Roman" w:eastAsia="PMingLiU" w:hAnsi="Times New Roman"/>
          <w:kern w:val="2"/>
          <w:lang w:eastAsia="zh-TW"/>
        </w:rPr>
        <w:t>4</w:t>
      </w:r>
      <w:r w:rsidRPr="002A2383">
        <w:rPr>
          <w:rFonts w:ascii="Times New Roman" w:eastAsia="PMingLiU" w:hAnsi="Times New Roman" w:hint="eastAsia"/>
          <w:kern w:val="2"/>
          <w:lang w:eastAsia="zh-TW"/>
        </w:rPr>
        <w:t>．</w:t>
      </w:r>
      <w:bookmarkEnd w:id="27"/>
      <w:bookmarkEnd w:id="28"/>
      <w:bookmarkEnd w:id="29"/>
      <w:bookmarkEnd w:id="30"/>
      <w:bookmarkEnd w:id="31"/>
      <w:bookmarkEnd w:id="32"/>
      <w:bookmarkEnd w:id="33"/>
      <w:bookmarkEnd w:id="34"/>
      <w:bookmarkEnd w:id="35"/>
      <w:r w:rsidRPr="002A2383">
        <w:rPr>
          <w:rFonts w:ascii="Times New Roman" w:eastAsia="PMingLiU" w:hAnsi="Times New Roman" w:hint="eastAsia"/>
          <w:kern w:val="2"/>
          <w:lang w:eastAsia="zh-TW"/>
        </w:rPr>
        <w:t>誠信要求</w:t>
      </w:r>
    </w:p>
    <w:p w:rsidR="00A10B13" w:rsidRDefault="002A2383">
      <w:pPr>
        <w:tabs>
          <w:tab w:val="left" w:pos="360"/>
        </w:tabs>
        <w:ind w:firstLine="440"/>
        <w:rPr>
          <w:rFonts w:cs="Times New Roman"/>
          <w:szCs w:val="21"/>
        </w:rPr>
      </w:pPr>
      <w:r w:rsidRPr="002A2383">
        <w:rPr>
          <w:rFonts w:eastAsia="PMingLiU" w:cs="Times New Roman" w:hint="eastAsia"/>
          <w:szCs w:val="21"/>
          <w:lang w:eastAsia="zh-TW"/>
        </w:rPr>
        <w:t>本次招標不接受具有行賄犯罪記錄、失信被執行人等失信情形的潛在投標人參加投標。</w:t>
      </w:r>
    </w:p>
    <w:p w:rsidR="00A10B13" w:rsidRDefault="002A2383">
      <w:pPr>
        <w:pStyle w:val="2"/>
        <w:snapToGrid w:val="0"/>
        <w:spacing w:before="0" w:after="0" w:line="360" w:lineRule="auto"/>
        <w:jc w:val="both"/>
        <w:rPr>
          <w:rFonts w:ascii="Times New Roman" w:hAnsi="Times New Roman"/>
          <w:kern w:val="2"/>
        </w:rPr>
      </w:pPr>
      <w:bookmarkStart w:id="36" w:name="_Toc8569"/>
      <w:bookmarkStart w:id="37" w:name="_Toc21037"/>
      <w:bookmarkStart w:id="38" w:name="_Toc153208767"/>
      <w:bookmarkStart w:id="39" w:name="_Toc26444"/>
      <w:bookmarkStart w:id="40" w:name="_Toc517102953"/>
      <w:bookmarkStart w:id="41" w:name="_Toc5146"/>
      <w:bookmarkStart w:id="42" w:name="_Toc14396"/>
      <w:bookmarkStart w:id="43" w:name="_Toc13659"/>
      <w:bookmarkStart w:id="44" w:name="_Toc152930395"/>
      <w:r w:rsidRPr="002A2383">
        <w:rPr>
          <w:rFonts w:ascii="Times New Roman" w:eastAsia="PMingLiU" w:hAnsi="Times New Roman"/>
          <w:szCs w:val="28"/>
          <w:lang w:eastAsia="zh-TW"/>
        </w:rPr>
        <w:t>5</w:t>
      </w:r>
      <w:r w:rsidRPr="002A2383">
        <w:rPr>
          <w:rFonts w:ascii="Times New Roman" w:eastAsia="PMingLiU" w:hAnsi="Times New Roman" w:hint="eastAsia"/>
          <w:kern w:val="2"/>
          <w:lang w:eastAsia="zh-TW"/>
        </w:rPr>
        <w:t>．</w:t>
      </w:r>
      <w:bookmarkEnd w:id="36"/>
      <w:bookmarkEnd w:id="37"/>
      <w:bookmarkEnd w:id="38"/>
      <w:bookmarkEnd w:id="39"/>
      <w:bookmarkEnd w:id="40"/>
      <w:bookmarkEnd w:id="41"/>
      <w:bookmarkEnd w:id="42"/>
      <w:bookmarkEnd w:id="43"/>
      <w:bookmarkEnd w:id="44"/>
      <w:r w:rsidRPr="002A2383">
        <w:rPr>
          <w:rFonts w:ascii="Times New Roman" w:eastAsia="PMingLiU" w:hAnsi="Times New Roman" w:hint="eastAsia"/>
          <w:kern w:val="2"/>
          <w:lang w:eastAsia="zh-TW"/>
        </w:rPr>
        <w:t>招標文件的獲取</w:t>
      </w:r>
    </w:p>
    <w:p w:rsidR="00A10B13" w:rsidRDefault="002A2383">
      <w:pPr>
        <w:widowControl/>
        <w:tabs>
          <w:tab w:val="left" w:pos="360"/>
        </w:tabs>
        <w:ind w:firstLine="440"/>
        <w:jc w:val="left"/>
        <w:rPr>
          <w:rFonts w:ascii="宋体" w:hAnsi="宋体" w:cs="宋体"/>
          <w:szCs w:val="21"/>
          <w:lang w:eastAsia="zh-TW"/>
        </w:rPr>
      </w:pPr>
      <w:r w:rsidRPr="002A2383">
        <w:rPr>
          <w:rFonts w:ascii="宋体" w:eastAsia="PMingLiU" w:hAnsi="宋体" w:cs="宋体"/>
          <w:szCs w:val="21"/>
          <w:lang w:eastAsia="zh-TW" w:bidi="ar"/>
        </w:rPr>
        <w:t xml:space="preserve">5.1 </w:t>
      </w:r>
      <w:r w:rsidRPr="002A2383">
        <w:rPr>
          <w:rFonts w:ascii="宋体" w:eastAsia="PMingLiU" w:hAnsi="宋体" w:cs="宋体" w:hint="eastAsia"/>
          <w:szCs w:val="21"/>
          <w:lang w:eastAsia="zh-TW" w:bidi="ar"/>
        </w:rPr>
        <w:t>投標人須為國鐵採購平臺（</w:t>
      </w:r>
      <w:r w:rsidRPr="002A2383">
        <w:rPr>
          <w:rFonts w:ascii="宋体" w:eastAsia="PMingLiU" w:hAnsi="宋体" w:cs="宋体"/>
          <w:szCs w:val="21"/>
          <w:lang w:eastAsia="zh-TW"/>
        </w:rPr>
        <w:t>https://cg.95306.cn/</w:t>
      </w:r>
      <w:r w:rsidRPr="002A2383">
        <w:rPr>
          <w:rFonts w:ascii="宋体" w:eastAsia="PMingLiU" w:hAnsi="宋体" w:cs="宋体" w:hint="eastAsia"/>
          <w:szCs w:val="21"/>
          <w:lang w:eastAsia="zh-TW" w:bidi="ar"/>
        </w:rPr>
        <w:t>）註冊供應商。新用戶請先登錄國鐵採購平臺完成企業用戶註冊並通過初審。凡有意參加投標者，請於</w:t>
      </w:r>
      <w:r w:rsidRPr="002A2383">
        <w:rPr>
          <w:rFonts w:ascii="宋体" w:eastAsia="PMingLiU" w:hAnsi="宋体" w:cs="宋体"/>
          <w:szCs w:val="21"/>
          <w:lang w:eastAsia="zh-TW"/>
        </w:rPr>
        <w:t>2024</w:t>
      </w:r>
      <w:r w:rsidRPr="002A2383">
        <w:rPr>
          <w:rFonts w:ascii="宋体" w:eastAsia="PMingLiU" w:hAnsi="宋体" w:cs="宋体" w:hint="eastAsia"/>
          <w:szCs w:val="21"/>
          <w:lang w:eastAsia="zh-TW"/>
        </w:rPr>
        <w:t>年</w:t>
      </w:r>
      <w:r w:rsidRPr="002A2383">
        <w:rPr>
          <w:rFonts w:ascii="宋体" w:eastAsia="PMingLiU" w:hAnsi="宋体" w:cs="宋体"/>
          <w:szCs w:val="21"/>
          <w:lang w:eastAsia="zh-TW"/>
        </w:rPr>
        <w:t>4</w:t>
      </w:r>
      <w:r w:rsidRPr="002A2383">
        <w:rPr>
          <w:rFonts w:ascii="宋体" w:eastAsia="PMingLiU" w:hAnsi="宋体" w:cs="宋体" w:hint="eastAsia"/>
          <w:szCs w:val="21"/>
          <w:lang w:eastAsia="zh-TW"/>
        </w:rPr>
        <w:t>月</w:t>
      </w:r>
      <w:r w:rsidRPr="002A2383">
        <w:rPr>
          <w:rFonts w:ascii="宋体" w:eastAsia="PMingLiU" w:hAnsi="宋体" w:cs="宋体"/>
          <w:szCs w:val="21"/>
          <w:lang w:eastAsia="zh-TW"/>
        </w:rPr>
        <w:t>22</w:t>
      </w:r>
      <w:r w:rsidRPr="002A2383">
        <w:rPr>
          <w:rFonts w:ascii="宋体" w:eastAsia="PMingLiU" w:hAnsi="宋体" w:cs="宋体" w:hint="eastAsia"/>
          <w:szCs w:val="21"/>
          <w:lang w:eastAsia="zh-TW"/>
        </w:rPr>
        <w:lastRenderedPageBreak/>
        <w:t>日</w:t>
      </w:r>
      <w:r w:rsidRPr="002A2383">
        <w:rPr>
          <w:rFonts w:ascii="宋体" w:eastAsia="PMingLiU" w:hAnsi="宋体" w:cs="宋体"/>
          <w:szCs w:val="21"/>
          <w:lang w:eastAsia="zh-TW"/>
        </w:rPr>
        <w:t>14</w:t>
      </w:r>
      <w:r w:rsidRPr="002A2383">
        <w:rPr>
          <w:rFonts w:ascii="宋体" w:eastAsia="PMingLiU" w:hAnsi="宋体" w:cs="宋体" w:hint="eastAsia"/>
          <w:szCs w:val="21"/>
          <w:lang w:eastAsia="zh-TW"/>
        </w:rPr>
        <w:t>時至</w:t>
      </w:r>
      <w:r w:rsidRPr="002A2383">
        <w:rPr>
          <w:rFonts w:ascii="宋体" w:eastAsia="PMingLiU" w:hAnsi="宋体" w:cs="宋体"/>
          <w:szCs w:val="21"/>
          <w:lang w:eastAsia="zh-TW"/>
        </w:rPr>
        <w:t>2024</w:t>
      </w:r>
      <w:r w:rsidRPr="002A2383">
        <w:rPr>
          <w:rFonts w:ascii="宋体" w:eastAsia="PMingLiU" w:hAnsi="宋体" w:cs="宋体" w:hint="eastAsia"/>
          <w:szCs w:val="21"/>
          <w:lang w:eastAsia="zh-TW"/>
        </w:rPr>
        <w:t>年</w:t>
      </w:r>
      <w:r w:rsidRPr="002A2383">
        <w:rPr>
          <w:rFonts w:ascii="宋体" w:eastAsia="PMingLiU" w:hAnsi="宋体" w:cs="宋体"/>
          <w:szCs w:val="21"/>
          <w:lang w:eastAsia="zh-TW"/>
        </w:rPr>
        <w:t>4</w:t>
      </w:r>
      <w:r w:rsidRPr="002A2383">
        <w:rPr>
          <w:rFonts w:ascii="宋体" w:eastAsia="PMingLiU" w:hAnsi="宋体" w:cs="宋体" w:hint="eastAsia"/>
          <w:szCs w:val="21"/>
          <w:lang w:eastAsia="zh-TW"/>
        </w:rPr>
        <w:t>月</w:t>
      </w:r>
      <w:r w:rsidRPr="002A2383">
        <w:rPr>
          <w:rFonts w:ascii="宋体" w:eastAsia="PMingLiU" w:hAnsi="宋体" w:cs="宋体"/>
          <w:szCs w:val="21"/>
          <w:lang w:eastAsia="zh-TW"/>
        </w:rPr>
        <w:t>27</w:t>
      </w:r>
      <w:r w:rsidRPr="002A2383">
        <w:rPr>
          <w:rFonts w:ascii="宋体" w:eastAsia="PMingLiU" w:hAnsi="宋体" w:cs="宋体" w:hint="eastAsia"/>
          <w:szCs w:val="21"/>
          <w:lang w:eastAsia="zh-TW"/>
        </w:rPr>
        <w:t>日</w:t>
      </w:r>
      <w:r w:rsidRPr="002A2383">
        <w:rPr>
          <w:rFonts w:ascii="宋体" w:eastAsia="PMingLiU" w:hAnsi="宋体" w:cs="宋体"/>
          <w:szCs w:val="21"/>
          <w:lang w:eastAsia="zh-TW"/>
        </w:rPr>
        <w:t>14</w:t>
      </w:r>
      <w:r w:rsidRPr="002A2383">
        <w:rPr>
          <w:rFonts w:ascii="宋体" w:eastAsia="PMingLiU" w:hAnsi="宋体" w:cs="宋体" w:hint="eastAsia"/>
          <w:szCs w:val="21"/>
          <w:lang w:eastAsia="zh-TW"/>
        </w:rPr>
        <w:t>時</w:t>
      </w:r>
      <w:r w:rsidRPr="002A2383">
        <w:rPr>
          <w:rFonts w:ascii="宋体" w:eastAsia="PMingLiU" w:hAnsi="宋体" w:cs="宋体" w:hint="eastAsia"/>
          <w:szCs w:val="21"/>
          <w:lang w:eastAsia="zh-TW" w:bidi="ar"/>
        </w:rPr>
        <w:t>（北京時間，下同）登錄</w:t>
      </w:r>
      <w:r w:rsidRPr="002A2383">
        <w:rPr>
          <w:rFonts w:ascii="宋体" w:eastAsia="PMingLiU" w:hAnsi="宋体" w:cs="宋体"/>
          <w:szCs w:val="21"/>
          <w:lang w:eastAsia="zh-TW"/>
        </w:rPr>
        <w:t>https://cg.95306.cn/</w:t>
      </w:r>
      <w:r w:rsidRPr="002A2383">
        <w:rPr>
          <w:rFonts w:ascii="宋体" w:eastAsia="PMingLiU" w:hAnsi="宋体" w:cs="宋体" w:hint="eastAsia"/>
          <w:szCs w:val="21"/>
          <w:lang w:eastAsia="zh-TW" w:bidi="ar"/>
        </w:rPr>
        <w:t>（國鐵採購平臺）購買電子招標檔。</w:t>
      </w:r>
    </w:p>
    <w:p w:rsidR="00A10B13" w:rsidRDefault="002A2383">
      <w:pPr>
        <w:widowControl/>
        <w:tabs>
          <w:tab w:val="left" w:pos="360"/>
        </w:tabs>
        <w:ind w:firstLine="440"/>
        <w:jc w:val="left"/>
        <w:rPr>
          <w:rFonts w:ascii="宋体" w:hAnsi="宋体" w:cs="宋体"/>
          <w:szCs w:val="21"/>
          <w:lang w:eastAsia="zh-TW"/>
        </w:rPr>
      </w:pPr>
      <w:r w:rsidRPr="002A2383">
        <w:rPr>
          <w:rFonts w:ascii="宋体" w:eastAsia="PMingLiU" w:hAnsi="宋体" w:cs="宋体"/>
          <w:szCs w:val="21"/>
          <w:lang w:eastAsia="zh-TW" w:bidi="ar"/>
        </w:rPr>
        <w:t xml:space="preserve">5.2 </w:t>
      </w:r>
      <w:r w:rsidRPr="002A2383">
        <w:rPr>
          <w:rFonts w:ascii="宋体" w:eastAsia="PMingLiU" w:hAnsi="宋体" w:cs="宋体" w:hint="eastAsia"/>
          <w:szCs w:val="21"/>
          <w:lang w:eastAsia="zh-TW" w:bidi="ar"/>
        </w:rPr>
        <w:t>招標文件每包件售價</w:t>
      </w:r>
      <w:r w:rsidRPr="002A2383">
        <w:rPr>
          <w:rFonts w:ascii="宋体" w:eastAsia="PMingLiU" w:hAnsi="宋体" w:cs="宋体"/>
          <w:szCs w:val="21"/>
          <w:lang w:eastAsia="zh-TW"/>
        </w:rPr>
        <w:t>200</w:t>
      </w:r>
      <w:r w:rsidRPr="002A2383">
        <w:rPr>
          <w:rFonts w:ascii="宋体" w:eastAsia="PMingLiU" w:hAnsi="宋体" w:cs="宋体" w:hint="eastAsia"/>
          <w:szCs w:val="21"/>
          <w:lang w:eastAsia="zh-TW" w:bidi="ar"/>
        </w:rPr>
        <w:t>元，售後不退。繳費時應使用投標單位對公帳戶繳款，備註注明專案名稱、編號、包件號，售後不退。購買招標檔可採用電匯的方式支付（匯款時應備註專案名稱、編號、標包號等）。支付完成後應到國鐵採購平臺電子招標採購系統提交標書費繳納憑證（銀行回單）（在公告</w:t>
      </w:r>
      <w:r w:rsidRPr="002A2383">
        <w:rPr>
          <w:rFonts w:ascii="宋体" w:eastAsia="PMingLiU" w:hAnsi="宋体" w:cs="宋体"/>
          <w:szCs w:val="21"/>
          <w:lang w:eastAsia="zh-TW" w:bidi="ar"/>
        </w:rPr>
        <w:t>&gt;</w:t>
      </w:r>
      <w:r w:rsidRPr="002A2383">
        <w:rPr>
          <w:rFonts w:ascii="宋体" w:eastAsia="PMingLiU" w:hAnsi="宋体" w:cs="宋体" w:hint="eastAsia"/>
          <w:szCs w:val="21"/>
          <w:lang w:eastAsia="zh-TW" w:bidi="ar"/>
        </w:rPr>
        <w:t>招標公告</w:t>
      </w:r>
      <w:r w:rsidRPr="002A2383">
        <w:rPr>
          <w:rFonts w:ascii="宋体" w:eastAsia="PMingLiU" w:hAnsi="宋体" w:cs="宋体"/>
          <w:szCs w:val="21"/>
          <w:lang w:eastAsia="zh-TW" w:bidi="ar"/>
        </w:rPr>
        <w:t>&gt;</w:t>
      </w:r>
      <w:r w:rsidRPr="002A2383">
        <w:rPr>
          <w:rFonts w:ascii="宋体" w:eastAsia="PMingLiU" w:hAnsi="宋体" w:cs="宋体" w:hint="eastAsia"/>
          <w:szCs w:val="21"/>
          <w:lang w:eastAsia="zh-TW" w:bidi="ar"/>
        </w:rPr>
        <w:t>查看詳情</w:t>
      </w:r>
      <w:r w:rsidRPr="002A2383">
        <w:rPr>
          <w:rFonts w:ascii="宋体" w:eastAsia="PMingLiU" w:hAnsi="宋体" w:cs="宋体"/>
          <w:szCs w:val="21"/>
          <w:lang w:eastAsia="zh-TW" w:bidi="ar"/>
        </w:rPr>
        <w:t>/</w:t>
      </w:r>
      <w:r w:rsidRPr="002A2383">
        <w:rPr>
          <w:rFonts w:ascii="宋体" w:eastAsia="PMingLiU" w:hAnsi="宋体" w:cs="宋体" w:hint="eastAsia"/>
          <w:szCs w:val="21"/>
          <w:lang w:eastAsia="zh-TW" w:bidi="ar"/>
        </w:rPr>
        <w:t>檔購買按要求錄入繳費憑證，並在備註中標明所購買的標包號），由平臺財務人員核驗通過後即可登錄國鐵採購平臺電子招標採購系統（在參與的專案中</w:t>
      </w:r>
      <w:r w:rsidRPr="002A2383">
        <w:rPr>
          <w:rFonts w:ascii="宋体" w:eastAsia="PMingLiU" w:hAnsi="宋体" w:cs="宋体"/>
          <w:szCs w:val="21"/>
          <w:lang w:eastAsia="zh-TW" w:bidi="ar"/>
        </w:rPr>
        <w:t>&gt;</w:t>
      </w:r>
      <w:r w:rsidRPr="002A2383">
        <w:rPr>
          <w:rFonts w:ascii="宋体" w:eastAsia="PMingLiU" w:hAnsi="宋体" w:cs="宋体" w:hint="eastAsia"/>
          <w:szCs w:val="21"/>
          <w:lang w:eastAsia="zh-TW" w:bidi="ar"/>
        </w:rPr>
        <w:t>招標檔）下載招標檔及其他招標資料。</w:t>
      </w:r>
    </w:p>
    <w:p w:rsidR="00A10B13" w:rsidRDefault="002A2383">
      <w:pPr>
        <w:widowControl/>
        <w:tabs>
          <w:tab w:val="left" w:pos="360"/>
        </w:tabs>
        <w:ind w:firstLine="440"/>
        <w:jc w:val="left"/>
        <w:rPr>
          <w:rFonts w:ascii="宋体" w:hAnsi="宋体" w:cs="宋体"/>
          <w:szCs w:val="21"/>
        </w:rPr>
      </w:pPr>
      <w:r w:rsidRPr="002A2383">
        <w:rPr>
          <w:rFonts w:ascii="宋体" w:eastAsia="PMingLiU" w:hAnsi="宋体" w:cs="宋体"/>
          <w:szCs w:val="21"/>
          <w:lang w:eastAsia="zh-TW" w:bidi="ar"/>
        </w:rPr>
        <w:t>5.3</w:t>
      </w:r>
      <w:r w:rsidRPr="002A2383">
        <w:rPr>
          <w:rFonts w:ascii="宋体" w:eastAsia="PMingLiU" w:hAnsi="宋体" w:cs="宋体" w:hint="eastAsia"/>
          <w:szCs w:val="21"/>
          <w:lang w:eastAsia="zh-TW" w:bidi="ar"/>
        </w:rPr>
        <w:t>未在公告指定時間內完成支付者，將無法獲取招標檔，同時不具備參與本專案投標資格。</w:t>
      </w:r>
    </w:p>
    <w:p w:rsidR="00A10B13" w:rsidRDefault="002A2383">
      <w:pPr>
        <w:pStyle w:val="2"/>
        <w:snapToGrid w:val="0"/>
        <w:spacing w:before="0" w:after="0" w:line="360" w:lineRule="auto"/>
        <w:jc w:val="both"/>
        <w:rPr>
          <w:rFonts w:ascii="Times New Roman" w:hAnsi="Times New Roman"/>
          <w:kern w:val="2"/>
        </w:rPr>
      </w:pPr>
      <w:bookmarkStart w:id="45" w:name="_Toc23136"/>
      <w:bookmarkStart w:id="46" w:name="_Toc18264"/>
      <w:bookmarkStart w:id="47" w:name="_Toc517102954"/>
      <w:bookmarkStart w:id="48" w:name="_Toc12238"/>
      <w:bookmarkStart w:id="49" w:name="_Toc152930396"/>
      <w:bookmarkStart w:id="50" w:name="_Toc153208768"/>
      <w:bookmarkStart w:id="51" w:name="_Toc26733"/>
      <w:bookmarkStart w:id="52" w:name="_Toc6011"/>
      <w:bookmarkStart w:id="53" w:name="_Toc14019"/>
      <w:r w:rsidRPr="002A2383">
        <w:rPr>
          <w:rFonts w:ascii="Times New Roman" w:eastAsia="PMingLiU" w:hAnsi="Times New Roman"/>
          <w:kern w:val="2"/>
          <w:lang w:eastAsia="zh-TW"/>
        </w:rPr>
        <w:t>6</w:t>
      </w:r>
      <w:r w:rsidRPr="002A2383">
        <w:rPr>
          <w:rFonts w:ascii="Times New Roman" w:eastAsia="PMingLiU" w:hAnsi="Times New Roman" w:hint="eastAsia"/>
          <w:kern w:val="2"/>
          <w:lang w:eastAsia="zh-TW"/>
        </w:rPr>
        <w:t>．</w:t>
      </w:r>
      <w:bookmarkEnd w:id="45"/>
      <w:bookmarkEnd w:id="46"/>
      <w:bookmarkEnd w:id="47"/>
      <w:bookmarkEnd w:id="48"/>
      <w:bookmarkEnd w:id="49"/>
      <w:bookmarkEnd w:id="50"/>
      <w:bookmarkEnd w:id="51"/>
      <w:bookmarkEnd w:id="52"/>
      <w:bookmarkEnd w:id="53"/>
      <w:r w:rsidRPr="002A2383">
        <w:rPr>
          <w:rFonts w:ascii="Times New Roman" w:eastAsia="PMingLiU" w:hAnsi="Times New Roman" w:hint="eastAsia"/>
          <w:kern w:val="2"/>
          <w:lang w:eastAsia="zh-TW"/>
        </w:rPr>
        <w:t>投標文件的遞交</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6.1</w:t>
      </w:r>
      <w:r w:rsidRPr="002A2383">
        <w:rPr>
          <w:rFonts w:ascii="宋体" w:eastAsia="PMingLiU" w:hAnsi="宋体" w:cs="宋体" w:hint="eastAsia"/>
          <w:szCs w:val="21"/>
          <w:lang w:eastAsia="zh-TW"/>
        </w:rPr>
        <w:t>投標檔遞交的截止時間（投標截止時間，下同）為</w:t>
      </w:r>
      <w:r w:rsidRPr="002A2383">
        <w:rPr>
          <w:rFonts w:ascii="宋体" w:eastAsia="PMingLiU" w:hAnsi="宋体" w:cs="宋体"/>
          <w:szCs w:val="21"/>
          <w:lang w:eastAsia="zh-TW"/>
        </w:rPr>
        <w:t>2024</w:t>
      </w:r>
      <w:r w:rsidRPr="002A2383">
        <w:rPr>
          <w:rFonts w:ascii="宋体" w:eastAsia="PMingLiU" w:hAnsi="宋体" w:cs="宋体" w:hint="eastAsia"/>
          <w:szCs w:val="21"/>
          <w:lang w:eastAsia="zh-TW"/>
        </w:rPr>
        <w:t>年</w:t>
      </w:r>
      <w:r w:rsidRPr="002A2383">
        <w:rPr>
          <w:rFonts w:ascii="宋体" w:eastAsia="PMingLiU" w:hAnsi="宋体" w:cs="宋体"/>
          <w:szCs w:val="21"/>
          <w:lang w:eastAsia="zh-TW"/>
        </w:rPr>
        <w:t>5</w:t>
      </w:r>
      <w:r w:rsidRPr="002A2383">
        <w:rPr>
          <w:rFonts w:ascii="宋体" w:eastAsia="PMingLiU" w:hAnsi="宋体" w:cs="宋体" w:hint="eastAsia"/>
          <w:szCs w:val="21"/>
          <w:lang w:eastAsia="zh-TW"/>
        </w:rPr>
        <w:t>月</w:t>
      </w:r>
      <w:r w:rsidRPr="002A2383">
        <w:rPr>
          <w:rFonts w:ascii="宋体" w:eastAsia="PMingLiU" w:hAnsi="宋体" w:cs="宋体"/>
          <w:szCs w:val="21"/>
          <w:lang w:eastAsia="zh-TW"/>
        </w:rPr>
        <w:t>14</w:t>
      </w:r>
      <w:r w:rsidRPr="002A2383">
        <w:rPr>
          <w:rFonts w:ascii="宋体" w:eastAsia="PMingLiU" w:hAnsi="宋体" w:cs="宋体" w:hint="eastAsia"/>
          <w:szCs w:val="21"/>
          <w:lang w:eastAsia="zh-TW"/>
        </w:rPr>
        <w:t>日</w:t>
      </w:r>
      <w:r w:rsidRPr="002A2383">
        <w:rPr>
          <w:rFonts w:ascii="宋体" w:eastAsia="PMingLiU" w:hAnsi="宋体" w:cs="宋体"/>
          <w:szCs w:val="21"/>
          <w:lang w:eastAsia="zh-TW"/>
        </w:rPr>
        <w:t>08</w:t>
      </w:r>
      <w:r w:rsidRPr="002A2383">
        <w:rPr>
          <w:rFonts w:ascii="宋体" w:eastAsia="PMingLiU" w:hAnsi="宋体" w:cs="宋体" w:hint="eastAsia"/>
          <w:szCs w:val="21"/>
          <w:lang w:eastAsia="zh-TW"/>
        </w:rPr>
        <w:t>時</w:t>
      </w:r>
      <w:r w:rsidRPr="002A2383">
        <w:rPr>
          <w:rFonts w:ascii="宋体" w:eastAsia="PMingLiU" w:hAnsi="宋体" w:cs="宋体"/>
          <w:szCs w:val="21"/>
          <w:lang w:eastAsia="zh-TW"/>
        </w:rPr>
        <w:t>30</w:t>
      </w:r>
      <w:r w:rsidRPr="002A2383">
        <w:rPr>
          <w:rFonts w:ascii="宋体" w:eastAsia="PMingLiU" w:hAnsi="宋体" w:cs="宋体" w:hint="eastAsia"/>
          <w:szCs w:val="21"/>
          <w:lang w:eastAsia="zh-TW"/>
        </w:rPr>
        <w:t>分，投標人應在截止時間前通過國鐵採購平臺（電子招標投標交易平臺）遞交電子投標檔。</w:t>
      </w:r>
    </w:p>
    <w:p w:rsidR="00A10B13" w:rsidRDefault="002A2383">
      <w:pPr>
        <w:tabs>
          <w:tab w:val="left" w:pos="360"/>
        </w:tabs>
        <w:ind w:firstLine="440"/>
        <w:rPr>
          <w:rFonts w:ascii="宋体" w:hAnsi="宋体" w:cs="宋体"/>
          <w:szCs w:val="21"/>
        </w:rPr>
      </w:pPr>
      <w:r w:rsidRPr="002A2383">
        <w:rPr>
          <w:rFonts w:ascii="宋体" w:eastAsia="PMingLiU" w:hAnsi="宋体" w:cs="宋体"/>
          <w:szCs w:val="21"/>
          <w:lang w:eastAsia="zh-TW"/>
        </w:rPr>
        <w:t>6.2</w:t>
      </w:r>
      <w:r w:rsidRPr="002A2383">
        <w:rPr>
          <w:rFonts w:ascii="宋体" w:eastAsia="PMingLiU" w:hAnsi="宋体" w:cs="宋体" w:hint="eastAsia"/>
          <w:szCs w:val="21"/>
          <w:lang w:eastAsia="zh-TW"/>
        </w:rPr>
        <w:t>逾期送達的投標檔，電子招標投標交易平臺將予以拒收。</w:t>
      </w:r>
    </w:p>
    <w:p w:rsidR="00A10B13" w:rsidRDefault="002A2383">
      <w:pPr>
        <w:pStyle w:val="2"/>
        <w:snapToGrid w:val="0"/>
        <w:spacing w:before="0" w:after="0" w:line="360" w:lineRule="auto"/>
        <w:jc w:val="both"/>
        <w:rPr>
          <w:rFonts w:ascii="Times New Roman" w:hAnsi="Times New Roman"/>
          <w:kern w:val="2"/>
        </w:rPr>
      </w:pPr>
      <w:bookmarkStart w:id="54" w:name="_Toc3812"/>
      <w:bookmarkStart w:id="55" w:name="_Toc27661"/>
      <w:bookmarkStart w:id="56" w:name="_Toc153208769"/>
      <w:bookmarkStart w:id="57" w:name="_Toc517102955"/>
      <w:bookmarkStart w:id="58" w:name="_Toc18590"/>
      <w:bookmarkStart w:id="59" w:name="_Toc10068"/>
      <w:bookmarkStart w:id="60" w:name="_Toc152930397"/>
      <w:bookmarkStart w:id="61" w:name="_Toc24201"/>
      <w:bookmarkStart w:id="62" w:name="_Toc26145"/>
      <w:r w:rsidRPr="002A2383">
        <w:rPr>
          <w:rFonts w:ascii="Times New Roman" w:eastAsia="PMingLiU" w:hAnsi="Times New Roman"/>
          <w:kern w:val="2"/>
          <w:lang w:eastAsia="zh-TW"/>
        </w:rPr>
        <w:t>7</w:t>
      </w:r>
      <w:r w:rsidRPr="002A2383">
        <w:rPr>
          <w:rFonts w:ascii="Times New Roman" w:eastAsia="PMingLiU" w:hAnsi="Times New Roman" w:hint="eastAsia"/>
          <w:kern w:val="2"/>
          <w:lang w:eastAsia="zh-TW"/>
        </w:rPr>
        <w:t>．</w:t>
      </w:r>
      <w:bookmarkEnd w:id="54"/>
      <w:bookmarkEnd w:id="55"/>
      <w:bookmarkEnd w:id="56"/>
      <w:bookmarkEnd w:id="57"/>
      <w:bookmarkEnd w:id="58"/>
      <w:bookmarkEnd w:id="59"/>
      <w:bookmarkEnd w:id="60"/>
      <w:bookmarkEnd w:id="61"/>
      <w:bookmarkEnd w:id="62"/>
      <w:r w:rsidRPr="002A2383">
        <w:rPr>
          <w:rFonts w:ascii="Times New Roman" w:eastAsia="PMingLiU" w:hAnsi="Times New Roman" w:hint="eastAsia"/>
          <w:kern w:val="2"/>
          <w:lang w:eastAsia="zh-TW"/>
        </w:rPr>
        <w:t>發佈公告的媒介</w:t>
      </w:r>
    </w:p>
    <w:p w:rsidR="00A10B13" w:rsidRDefault="002A2383" w:rsidP="00291BD0">
      <w:pPr>
        <w:snapToGrid w:val="0"/>
        <w:ind w:firstLineChars="200" w:firstLine="420"/>
        <w:rPr>
          <w:rFonts w:ascii="宋体" w:hAnsi="宋体" w:cs="宋体"/>
        </w:rPr>
      </w:pPr>
      <w:r w:rsidRPr="002A2383">
        <w:rPr>
          <w:rFonts w:ascii="宋体" w:eastAsia="PMingLiU" w:hAnsi="宋体" w:cs="宋体" w:hint="eastAsia"/>
          <w:lang w:eastAsia="zh-TW"/>
        </w:rPr>
        <w:t>本次招標公告同時在國鐵採購平臺（</w:t>
      </w:r>
      <w:r w:rsidRPr="002A2383">
        <w:rPr>
          <w:rFonts w:ascii="宋体" w:eastAsia="PMingLiU" w:hAnsi="宋体" w:cs="宋体"/>
          <w:lang w:eastAsia="zh-TW"/>
        </w:rPr>
        <w:t>https://cg.95306.cn</w:t>
      </w:r>
      <w:r w:rsidRPr="002A2383">
        <w:rPr>
          <w:rFonts w:ascii="宋体" w:eastAsia="PMingLiU" w:hAnsi="宋体" w:cs="宋体" w:hint="eastAsia"/>
          <w:lang w:eastAsia="zh-TW"/>
        </w:rPr>
        <w:t>）等媒介上發佈。</w:t>
      </w:r>
    </w:p>
    <w:p w:rsidR="00A10B13" w:rsidRDefault="00A10B13">
      <w:pPr>
        <w:snapToGrid w:val="0"/>
        <w:ind w:firstLineChars="200" w:firstLine="420"/>
        <w:rPr>
          <w:rFonts w:ascii="宋体" w:hAnsi="宋体" w:cs="宋体"/>
        </w:rPr>
      </w:pPr>
    </w:p>
    <w:p w:rsidR="00A10B13" w:rsidRDefault="002A2383">
      <w:pPr>
        <w:pStyle w:val="2"/>
        <w:snapToGrid w:val="0"/>
        <w:spacing w:before="0" w:after="0" w:line="360" w:lineRule="auto"/>
        <w:jc w:val="both"/>
        <w:rPr>
          <w:rFonts w:ascii="Times New Roman" w:hAnsi="Times New Roman"/>
          <w:kern w:val="2"/>
        </w:rPr>
      </w:pPr>
      <w:bookmarkStart w:id="63" w:name="_Toc16581"/>
      <w:bookmarkStart w:id="64" w:name="_Toc27830"/>
      <w:bookmarkStart w:id="65" w:name="_Toc153208770"/>
      <w:bookmarkStart w:id="66" w:name="_Toc24983"/>
      <w:bookmarkStart w:id="67" w:name="_Toc16399"/>
      <w:bookmarkStart w:id="68" w:name="_Toc12103"/>
      <w:bookmarkStart w:id="69" w:name="_Toc152930398"/>
      <w:bookmarkStart w:id="70" w:name="_Toc6422"/>
      <w:bookmarkStart w:id="71" w:name="_Toc517102956"/>
      <w:r w:rsidRPr="002A2383">
        <w:rPr>
          <w:rFonts w:ascii="Times New Roman" w:eastAsia="PMingLiU" w:hAnsi="Times New Roman"/>
          <w:kern w:val="2"/>
          <w:lang w:eastAsia="zh-TW"/>
        </w:rPr>
        <w:t>8</w:t>
      </w:r>
      <w:r w:rsidRPr="002A2383">
        <w:rPr>
          <w:rFonts w:ascii="Times New Roman" w:eastAsia="PMingLiU" w:hAnsi="Times New Roman" w:hint="eastAsia"/>
          <w:kern w:val="2"/>
          <w:lang w:eastAsia="zh-TW"/>
        </w:rPr>
        <w:t>．</w:t>
      </w:r>
      <w:bookmarkEnd w:id="63"/>
      <w:bookmarkEnd w:id="64"/>
      <w:bookmarkEnd w:id="65"/>
      <w:bookmarkEnd w:id="66"/>
      <w:bookmarkEnd w:id="67"/>
      <w:bookmarkEnd w:id="68"/>
      <w:bookmarkEnd w:id="69"/>
      <w:bookmarkEnd w:id="70"/>
      <w:bookmarkEnd w:id="71"/>
      <w:r w:rsidRPr="002A2383">
        <w:rPr>
          <w:rFonts w:ascii="Times New Roman" w:eastAsia="PMingLiU" w:hAnsi="Times New Roman" w:hint="eastAsia"/>
          <w:kern w:val="2"/>
          <w:lang w:eastAsia="zh-TW"/>
        </w:rPr>
        <w:t>聯繫方式</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招</w:t>
      </w:r>
      <w:r w:rsidRPr="002A2383">
        <w:rPr>
          <w:rFonts w:ascii="宋体" w:eastAsia="PMingLiU" w:hAnsi="宋体" w:cs="宋体"/>
          <w:lang w:eastAsia="zh-TW"/>
        </w:rPr>
        <w:t xml:space="preserve"> </w:t>
      </w:r>
      <w:r w:rsidRPr="002A2383">
        <w:rPr>
          <w:rFonts w:ascii="宋体" w:eastAsia="PMingLiU" w:hAnsi="宋体" w:cs="宋体" w:hint="eastAsia"/>
          <w:lang w:eastAsia="zh-TW"/>
        </w:rPr>
        <w:t>標</w:t>
      </w:r>
      <w:r w:rsidRPr="002A2383">
        <w:rPr>
          <w:rFonts w:ascii="宋体" w:eastAsia="PMingLiU" w:hAnsi="宋体" w:cs="宋体"/>
          <w:lang w:eastAsia="zh-TW"/>
        </w:rPr>
        <w:t xml:space="preserve"> </w:t>
      </w:r>
      <w:r w:rsidRPr="002A2383">
        <w:rPr>
          <w:rFonts w:ascii="宋体" w:eastAsia="PMingLiU" w:hAnsi="宋体" w:cs="宋体" w:hint="eastAsia"/>
          <w:lang w:eastAsia="zh-TW"/>
        </w:rPr>
        <w:t>人：廣深鐵路股份有限公司廣州車站</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地</w:t>
      </w:r>
      <w:r w:rsidRPr="002A2383">
        <w:rPr>
          <w:rFonts w:ascii="宋体" w:eastAsia="PMingLiU" w:hAnsi="宋体" w:cs="宋体"/>
          <w:lang w:eastAsia="zh-TW"/>
        </w:rPr>
        <w:t xml:space="preserve">    </w:t>
      </w:r>
      <w:r w:rsidRPr="002A2383">
        <w:rPr>
          <w:rFonts w:ascii="宋体" w:eastAsia="PMingLiU" w:hAnsi="宋体" w:cs="宋体" w:hint="eastAsia"/>
          <w:lang w:eastAsia="zh-TW"/>
        </w:rPr>
        <w:t>址：</w:t>
      </w:r>
      <w:bookmarkStart w:id="72" w:name="_GoBack"/>
      <w:r w:rsidRPr="002A2383">
        <w:rPr>
          <w:rFonts w:ascii="宋体" w:eastAsia="PMingLiU" w:hAnsi="宋体" w:cs="宋体" w:hint="eastAsia"/>
          <w:lang w:eastAsia="zh-TW"/>
        </w:rPr>
        <w:t>廣州市越秀區環市西路廣州站</w:t>
      </w:r>
      <w:r w:rsidRPr="002A2383">
        <w:rPr>
          <w:rFonts w:ascii="宋体" w:eastAsia="PMingLiU" w:hAnsi="宋体" w:cs="宋体"/>
          <w:lang w:eastAsia="zh-TW"/>
        </w:rPr>
        <w:t>1</w:t>
      </w:r>
      <w:r w:rsidRPr="002A2383">
        <w:rPr>
          <w:rFonts w:ascii="宋体" w:eastAsia="PMingLiU" w:hAnsi="宋体" w:cs="宋体" w:hint="eastAsia"/>
          <w:lang w:eastAsia="zh-TW"/>
        </w:rPr>
        <w:t>號</w:t>
      </w:r>
      <w:bookmarkEnd w:id="72"/>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郵</w:t>
      </w:r>
      <w:r w:rsidRPr="002A2383">
        <w:rPr>
          <w:rFonts w:ascii="宋体" w:eastAsia="PMingLiU" w:hAnsi="宋体" w:cs="宋体"/>
          <w:lang w:eastAsia="zh-TW"/>
        </w:rPr>
        <w:t xml:space="preserve">    </w:t>
      </w:r>
      <w:r w:rsidRPr="002A2383">
        <w:rPr>
          <w:rFonts w:ascii="宋体" w:eastAsia="PMingLiU" w:hAnsi="宋体" w:cs="宋体" w:hint="eastAsia"/>
          <w:lang w:eastAsia="zh-TW"/>
        </w:rPr>
        <w:t>編：</w:t>
      </w:r>
      <w:r w:rsidRPr="002A2383">
        <w:rPr>
          <w:rFonts w:ascii="宋体" w:eastAsia="PMingLiU" w:hAnsi="宋体" w:cs="宋体"/>
          <w:lang w:eastAsia="zh-TW"/>
        </w:rPr>
        <w:t>510600</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聯</w:t>
      </w:r>
      <w:r w:rsidRPr="002A2383">
        <w:rPr>
          <w:rFonts w:ascii="宋体" w:eastAsia="PMingLiU" w:hAnsi="宋体" w:cs="宋体"/>
          <w:lang w:eastAsia="zh-TW"/>
        </w:rPr>
        <w:t xml:space="preserve"> </w:t>
      </w:r>
      <w:r w:rsidRPr="002A2383">
        <w:rPr>
          <w:rFonts w:ascii="宋体" w:eastAsia="PMingLiU" w:hAnsi="宋体" w:cs="宋体" w:hint="eastAsia"/>
          <w:lang w:eastAsia="zh-TW"/>
        </w:rPr>
        <w:t>系</w:t>
      </w:r>
      <w:r w:rsidRPr="002A2383">
        <w:rPr>
          <w:rFonts w:ascii="宋体" w:eastAsia="PMingLiU" w:hAnsi="宋体" w:cs="宋体"/>
          <w:lang w:eastAsia="zh-TW"/>
        </w:rPr>
        <w:t xml:space="preserve"> </w:t>
      </w:r>
      <w:r w:rsidRPr="002A2383">
        <w:rPr>
          <w:rFonts w:ascii="宋体" w:eastAsia="PMingLiU" w:hAnsi="宋体" w:cs="宋体" w:hint="eastAsia"/>
          <w:lang w:eastAsia="zh-TW"/>
        </w:rPr>
        <w:t>人：劉工</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電</w:t>
      </w:r>
      <w:r w:rsidRPr="002A2383">
        <w:rPr>
          <w:rFonts w:ascii="宋体" w:eastAsia="PMingLiU" w:hAnsi="宋体" w:cs="宋体"/>
          <w:lang w:eastAsia="zh-TW"/>
        </w:rPr>
        <w:t xml:space="preserve">    </w:t>
      </w:r>
      <w:r w:rsidRPr="002A2383">
        <w:rPr>
          <w:rFonts w:ascii="宋体" w:eastAsia="PMingLiU" w:hAnsi="宋体" w:cs="宋体" w:hint="eastAsia"/>
          <w:lang w:eastAsia="zh-TW"/>
        </w:rPr>
        <w:t>話：</w:t>
      </w:r>
      <w:r w:rsidRPr="002A2383">
        <w:rPr>
          <w:rFonts w:ascii="宋体" w:eastAsia="PMingLiU" w:hAnsi="宋体" w:cs="宋体"/>
          <w:lang w:eastAsia="zh-TW"/>
        </w:rPr>
        <w:t>020-61350361</w:t>
      </w:r>
    </w:p>
    <w:p w:rsidR="00A10B13" w:rsidRDefault="00A10B13">
      <w:pPr>
        <w:pStyle w:val="a3"/>
        <w:ind w:firstLine="420"/>
      </w:pP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招標代理機構：廣州廣鐵招標代理有限公司</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地</w:t>
      </w:r>
      <w:r w:rsidRPr="002A2383">
        <w:rPr>
          <w:rFonts w:ascii="宋体" w:eastAsia="PMingLiU" w:hAnsi="宋体" w:cs="宋体"/>
          <w:lang w:eastAsia="zh-TW"/>
        </w:rPr>
        <w:t xml:space="preserve">    </w:t>
      </w:r>
      <w:r w:rsidRPr="002A2383">
        <w:rPr>
          <w:rFonts w:ascii="宋体" w:eastAsia="PMingLiU" w:hAnsi="宋体" w:cs="宋体" w:hint="eastAsia"/>
          <w:lang w:eastAsia="zh-TW"/>
        </w:rPr>
        <w:t>址：廣東省廣州市越秀區中山一路</w:t>
      </w:r>
      <w:r w:rsidRPr="002A2383">
        <w:rPr>
          <w:rFonts w:ascii="宋体" w:eastAsia="PMingLiU" w:hAnsi="宋体" w:cs="宋体"/>
          <w:lang w:eastAsia="zh-TW"/>
        </w:rPr>
        <w:t>125</w:t>
      </w:r>
      <w:r w:rsidRPr="002A2383">
        <w:rPr>
          <w:rFonts w:ascii="宋体" w:eastAsia="PMingLiU" w:hAnsi="宋体" w:cs="宋体" w:hint="eastAsia"/>
          <w:lang w:eastAsia="zh-TW"/>
        </w:rPr>
        <w:t>號首層</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郵</w:t>
      </w:r>
      <w:r w:rsidRPr="002A2383">
        <w:rPr>
          <w:rFonts w:ascii="宋体" w:eastAsia="PMingLiU" w:hAnsi="宋体" w:cs="宋体"/>
          <w:lang w:eastAsia="zh-TW"/>
        </w:rPr>
        <w:t xml:space="preserve">    </w:t>
      </w:r>
      <w:r w:rsidRPr="002A2383">
        <w:rPr>
          <w:rFonts w:ascii="宋体" w:eastAsia="PMingLiU" w:hAnsi="宋体" w:cs="宋体" w:hint="eastAsia"/>
          <w:lang w:eastAsia="zh-TW"/>
        </w:rPr>
        <w:t>編：</w:t>
      </w:r>
      <w:r w:rsidRPr="002A2383">
        <w:rPr>
          <w:rFonts w:ascii="宋体" w:eastAsia="PMingLiU" w:hAnsi="宋体" w:cs="宋体"/>
          <w:lang w:eastAsia="zh-TW"/>
        </w:rPr>
        <w:t>510600</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聯</w:t>
      </w:r>
      <w:r w:rsidRPr="002A2383">
        <w:rPr>
          <w:rFonts w:ascii="宋体" w:eastAsia="PMingLiU" w:hAnsi="宋体" w:cs="宋体"/>
          <w:lang w:eastAsia="zh-TW"/>
        </w:rPr>
        <w:t xml:space="preserve"> </w:t>
      </w:r>
      <w:r w:rsidRPr="002A2383">
        <w:rPr>
          <w:rFonts w:ascii="宋体" w:eastAsia="PMingLiU" w:hAnsi="宋体" w:cs="宋体" w:hint="eastAsia"/>
          <w:lang w:eastAsia="zh-TW"/>
        </w:rPr>
        <w:t>系</w:t>
      </w:r>
      <w:r w:rsidRPr="002A2383">
        <w:rPr>
          <w:rFonts w:ascii="宋体" w:eastAsia="PMingLiU" w:hAnsi="宋体" w:cs="宋体"/>
          <w:lang w:eastAsia="zh-TW"/>
        </w:rPr>
        <w:t xml:space="preserve"> </w:t>
      </w:r>
      <w:r w:rsidRPr="002A2383">
        <w:rPr>
          <w:rFonts w:ascii="宋体" w:eastAsia="PMingLiU" w:hAnsi="宋体" w:cs="宋体" w:hint="eastAsia"/>
          <w:lang w:eastAsia="zh-TW"/>
        </w:rPr>
        <w:t>人：葉工</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電</w:t>
      </w:r>
      <w:r w:rsidRPr="002A2383">
        <w:rPr>
          <w:rFonts w:ascii="宋体" w:eastAsia="PMingLiU" w:hAnsi="宋体" w:cs="宋体"/>
          <w:lang w:eastAsia="zh-TW"/>
        </w:rPr>
        <w:t xml:space="preserve">    </w:t>
      </w:r>
      <w:r w:rsidRPr="002A2383">
        <w:rPr>
          <w:rFonts w:ascii="宋体" w:eastAsia="PMingLiU" w:hAnsi="宋体" w:cs="宋体" w:hint="eastAsia"/>
          <w:lang w:eastAsia="zh-TW"/>
        </w:rPr>
        <w:t>話：</w:t>
      </w:r>
      <w:r w:rsidRPr="002A2383">
        <w:rPr>
          <w:rFonts w:ascii="宋体" w:eastAsia="PMingLiU" w:hAnsi="宋体" w:cs="宋体"/>
          <w:lang w:eastAsia="zh-TW"/>
        </w:rPr>
        <w:t>020-61328737</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電子郵件：</w:t>
      </w:r>
      <w:r w:rsidRPr="002A2383">
        <w:rPr>
          <w:rFonts w:ascii="宋体" w:eastAsia="PMingLiU" w:hAnsi="宋体" w:cs="宋体"/>
          <w:lang w:eastAsia="zh-TW"/>
        </w:rPr>
        <w:t>JY@gt-bidding.com</w:t>
      </w:r>
      <w:r w:rsidRPr="002A2383">
        <w:rPr>
          <w:rFonts w:ascii="宋体" w:eastAsia="PMingLiU" w:hAnsi="宋体" w:cs="宋体" w:hint="eastAsia"/>
          <w:lang w:eastAsia="zh-TW"/>
        </w:rPr>
        <w:t>（郵件標題請注明項目項目編號及公司名稱）</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t>開戶銀行：中國建設銀行廣州鐵路支行</w:t>
      </w:r>
    </w:p>
    <w:p w:rsidR="00A10B13" w:rsidRDefault="002A2383">
      <w:pPr>
        <w:snapToGrid w:val="0"/>
        <w:ind w:firstLineChars="202" w:firstLine="424"/>
        <w:rPr>
          <w:rFonts w:ascii="宋体" w:hAnsi="宋体" w:cs="宋体"/>
        </w:rPr>
      </w:pPr>
      <w:r w:rsidRPr="002A2383">
        <w:rPr>
          <w:rFonts w:ascii="宋体" w:eastAsia="PMingLiU" w:hAnsi="宋体" w:cs="宋体" w:hint="eastAsia"/>
          <w:lang w:eastAsia="zh-TW"/>
        </w:rPr>
        <w:lastRenderedPageBreak/>
        <w:t>賬</w:t>
      </w:r>
      <w:r w:rsidRPr="002A2383">
        <w:rPr>
          <w:rFonts w:ascii="宋体" w:eastAsia="PMingLiU" w:hAnsi="宋体" w:cs="宋体"/>
          <w:lang w:eastAsia="zh-TW"/>
        </w:rPr>
        <w:t xml:space="preserve">    </w:t>
      </w:r>
      <w:r w:rsidRPr="002A2383">
        <w:rPr>
          <w:rFonts w:ascii="宋体" w:eastAsia="PMingLiU" w:hAnsi="宋体" w:cs="宋体" w:hint="eastAsia"/>
          <w:lang w:eastAsia="zh-TW"/>
        </w:rPr>
        <w:t>號：</w:t>
      </w:r>
      <w:r w:rsidRPr="002A2383">
        <w:rPr>
          <w:rFonts w:ascii="宋体" w:eastAsia="PMingLiU" w:hAnsi="宋体" w:cs="宋体"/>
          <w:lang w:eastAsia="zh-TW"/>
        </w:rPr>
        <w:t>44001400705059300013</w:t>
      </w:r>
    </w:p>
    <w:p w:rsidR="00A10B13" w:rsidRDefault="00A10B13">
      <w:pPr>
        <w:tabs>
          <w:tab w:val="left" w:pos="7060"/>
          <w:tab w:val="left" w:pos="8000"/>
        </w:tabs>
        <w:snapToGrid w:val="0"/>
        <w:ind w:firstLineChars="202" w:firstLine="424"/>
        <w:jc w:val="right"/>
        <w:rPr>
          <w:rFonts w:ascii="宋体" w:hAnsi="宋体" w:cs="宋体"/>
        </w:rPr>
      </w:pPr>
    </w:p>
    <w:p w:rsidR="00A10B13" w:rsidRDefault="002A2383" w:rsidP="00291BD0">
      <w:pPr>
        <w:tabs>
          <w:tab w:val="left" w:pos="7060"/>
          <w:tab w:val="left" w:pos="8000"/>
        </w:tabs>
        <w:snapToGrid w:val="0"/>
        <w:ind w:firstLineChars="202" w:firstLine="424"/>
        <w:jc w:val="right"/>
      </w:pPr>
      <w:r w:rsidRPr="002A2383">
        <w:rPr>
          <w:rFonts w:ascii="宋体" w:eastAsia="PMingLiU" w:hAnsi="宋体" w:cs="宋体"/>
          <w:lang w:eastAsia="zh-TW"/>
        </w:rPr>
        <w:t>2024</w:t>
      </w:r>
      <w:r w:rsidRPr="002A2383">
        <w:rPr>
          <w:rFonts w:ascii="宋体" w:eastAsia="PMingLiU" w:hAnsi="宋体" w:cs="宋体" w:hint="eastAsia"/>
          <w:lang w:eastAsia="zh-TW"/>
        </w:rPr>
        <w:t>年</w:t>
      </w:r>
      <w:r w:rsidRPr="002A2383">
        <w:rPr>
          <w:rFonts w:ascii="宋体" w:eastAsia="PMingLiU" w:hAnsi="宋体" w:cs="宋体"/>
          <w:lang w:eastAsia="zh-TW"/>
        </w:rPr>
        <w:t>4</w:t>
      </w:r>
      <w:r w:rsidRPr="002A2383">
        <w:rPr>
          <w:rFonts w:ascii="宋体" w:eastAsia="PMingLiU" w:hAnsi="宋体" w:cs="宋体" w:hint="eastAsia"/>
          <w:lang w:eastAsia="zh-TW"/>
        </w:rPr>
        <w:t>月</w:t>
      </w:r>
      <w:r w:rsidRPr="002A2383">
        <w:rPr>
          <w:rFonts w:ascii="宋体" w:eastAsia="PMingLiU" w:hAnsi="宋体" w:cs="宋体"/>
          <w:lang w:eastAsia="zh-TW"/>
        </w:rPr>
        <w:t>22</w:t>
      </w:r>
      <w:r w:rsidRPr="002A2383">
        <w:rPr>
          <w:rFonts w:ascii="宋体" w:eastAsia="PMingLiU" w:hAnsi="宋体" w:cs="宋体" w:hint="eastAsia"/>
          <w:lang w:eastAsia="zh-TW"/>
        </w:rPr>
        <w:t>日</w:t>
      </w:r>
    </w:p>
    <w:sectPr w:rsidR="00A10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5E" w:rsidRDefault="007A7A5E">
      <w:pPr>
        <w:spacing w:line="240" w:lineRule="auto"/>
      </w:pPr>
      <w:r>
        <w:separator/>
      </w:r>
    </w:p>
  </w:endnote>
  <w:endnote w:type="continuationSeparator" w:id="0">
    <w:p w:rsidR="007A7A5E" w:rsidRDefault="007A7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5E" w:rsidRDefault="007A7A5E">
      <w:r>
        <w:separator/>
      </w:r>
    </w:p>
  </w:footnote>
  <w:footnote w:type="continuationSeparator" w:id="0">
    <w:p w:rsidR="007A7A5E" w:rsidRDefault="007A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FhY2NhM2FlMzE0NzAwYmNmOTRmNDQ5Zjk3M2U4NGQifQ=="/>
  </w:docVars>
  <w:rsids>
    <w:rsidRoot w:val="4F2018E6"/>
    <w:rsid w:val="00291BD0"/>
    <w:rsid w:val="002A2383"/>
    <w:rsid w:val="007A7A5E"/>
    <w:rsid w:val="00A07F8A"/>
    <w:rsid w:val="00A10B13"/>
    <w:rsid w:val="0A682522"/>
    <w:rsid w:val="0A946CBD"/>
    <w:rsid w:val="22CF5490"/>
    <w:rsid w:val="2BFF522B"/>
    <w:rsid w:val="31665EF3"/>
    <w:rsid w:val="4F2018E6"/>
    <w:rsid w:val="509946DA"/>
    <w:rsid w:val="622C52FC"/>
    <w:rsid w:val="66CB5488"/>
    <w:rsid w:val="73EB45DA"/>
    <w:rsid w:val="754C23AC"/>
    <w:rsid w:val="7C03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38203-3D18-4AE7-BBE5-DDA7EDB2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spacing w:line="360" w:lineRule="auto"/>
      <w:jc w:val="both"/>
    </w:pPr>
    <w:rPr>
      <w:rFonts w:ascii="Times New Roman" w:eastAsia="宋体" w:hAnsi="Times New Roman"/>
      <w:kern w:val="2"/>
      <w:sz w:val="21"/>
      <w:szCs w:val="22"/>
    </w:rPr>
  </w:style>
  <w:style w:type="paragraph" w:styleId="1">
    <w:name w:val="heading 1"/>
    <w:basedOn w:val="a"/>
    <w:next w:val="a"/>
    <w:link w:val="10"/>
    <w:autoRedefine/>
    <w:qFormat/>
    <w:pPr>
      <w:keepNext/>
      <w:keepLines/>
      <w:widowControl/>
      <w:spacing w:before="340" w:after="330" w:line="578" w:lineRule="auto"/>
      <w:jc w:val="left"/>
      <w:outlineLvl w:val="0"/>
    </w:pPr>
    <w:rPr>
      <w:rFonts w:cs="Times New Roman"/>
      <w:b/>
      <w:bCs/>
      <w:kern w:val="44"/>
      <w:sz w:val="44"/>
      <w:szCs w:val="44"/>
    </w:rPr>
  </w:style>
  <w:style w:type="paragraph" w:styleId="2">
    <w:name w:val="heading 2"/>
    <w:basedOn w:val="a"/>
    <w:next w:val="a"/>
    <w:link w:val="20"/>
    <w:autoRedefine/>
    <w:semiHidden/>
    <w:unhideWhenUsed/>
    <w:qFormat/>
    <w:pPr>
      <w:spacing w:before="260" w:after="260" w:line="416" w:lineRule="auto"/>
      <w:jc w:val="left"/>
      <w:outlineLvl w:val="1"/>
    </w:pPr>
    <w:rPr>
      <w:rFonts w:ascii="等线 Light" w:hAnsi="等线 Light" w:cs="Times New Roman"/>
      <w:b/>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240" w:lineRule="auto"/>
      <w:ind w:firstLineChars="200" w:firstLine="200"/>
    </w:pPr>
    <w:rPr>
      <w:rFonts w:ascii="宋体" w:eastAsia="仿宋_GB2312" w:hAnsi="Courier New" w:cs="Courier New"/>
      <w:szCs w:val="21"/>
    </w:rPr>
  </w:style>
  <w:style w:type="character" w:customStyle="1" w:styleId="a4">
    <w:name w:val="公文二级标题"/>
    <w:basedOn w:val="a0"/>
    <w:autoRedefine/>
    <w:qFormat/>
    <w:rPr>
      <w:rFonts w:ascii="Calibri" w:eastAsia="楷体" w:hAnsi="Calibri"/>
      <w:b/>
      <w:sz w:val="32"/>
    </w:rPr>
  </w:style>
  <w:style w:type="character" w:customStyle="1" w:styleId="a5">
    <w:name w:val="公文题目"/>
    <w:basedOn w:val="a0"/>
    <w:autoRedefine/>
    <w:qFormat/>
    <w:rPr>
      <w:rFonts w:ascii="Calibri" w:eastAsia="方正小标宋简体" w:hAnsi="Calibri"/>
      <w:sz w:val="44"/>
    </w:rPr>
  </w:style>
  <w:style w:type="paragraph" w:customStyle="1" w:styleId="a6">
    <w:name w:val="公文正文"/>
    <w:basedOn w:val="a"/>
    <w:autoRedefine/>
    <w:qFormat/>
    <w:pPr>
      <w:ind w:firstLineChars="200" w:firstLine="640"/>
    </w:pPr>
    <w:rPr>
      <w:rFonts w:asciiTheme="minorHAnsi" w:eastAsia="仿宋_GB2312" w:hAnsiTheme="minorHAnsi"/>
      <w:sz w:val="32"/>
    </w:rPr>
  </w:style>
  <w:style w:type="character" w:customStyle="1" w:styleId="a7">
    <w:name w:val="公文一级标题"/>
    <w:basedOn w:val="a0"/>
    <w:autoRedefine/>
    <w:qFormat/>
    <w:rPr>
      <w:rFonts w:ascii="Calibri" w:eastAsia="黑体" w:hAnsi="Calibri"/>
      <w:sz w:val="32"/>
    </w:rPr>
  </w:style>
  <w:style w:type="character" w:customStyle="1" w:styleId="20">
    <w:name w:val="标题 2 字符"/>
    <w:link w:val="2"/>
    <w:autoRedefine/>
    <w:qFormat/>
    <w:rPr>
      <w:rFonts w:ascii="等线 Light" w:eastAsia="宋体" w:hAnsi="等线 Light" w:cs="Times New Roman"/>
      <w:b/>
      <w:bCs/>
      <w:kern w:val="0"/>
      <w:sz w:val="28"/>
      <w:szCs w:val="32"/>
    </w:rPr>
  </w:style>
  <w:style w:type="character" w:customStyle="1" w:styleId="10">
    <w:name w:val="标题 1 字符"/>
    <w:link w:val="1"/>
    <w:autoRedefine/>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0CC5-D12E-4BD2-A192-15FCA995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巡察组</cp:lastModifiedBy>
  <cp:revision>3</cp:revision>
  <dcterms:created xsi:type="dcterms:W3CDTF">2024-04-22T01:41:00Z</dcterms:created>
  <dcterms:modified xsi:type="dcterms:W3CDTF">2024-04-22T03:22:00Z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8379E977696E448F97DD2B57C106368B_11</vt:lpwstr>
  </property>
</Properties>
</file>