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Theme="majorEastAsia" w:hAnsiTheme="majorEastAsia" w:eastAsiaTheme="majorEastAsia"/>
          <w:sz w:val="28"/>
          <w:szCs w:val="28"/>
        </w:rPr>
      </w:pPr>
      <w:bookmarkStart w:id="13" w:name="_GoBack"/>
      <w:r>
        <w:rPr>
          <w:rFonts w:hint="eastAsia" w:eastAsia="宋体" w:asciiTheme="majorEastAsia" w:hAnsiTheme="majorEastAsia"/>
          <w:sz w:val="28"/>
          <w:szCs w:val="28"/>
        </w:rPr>
        <w:t>深圳市廣深鐵路列車經貿實業有限公司搬運服務業務外包專案</w:t>
      </w:r>
    </w:p>
    <w:bookmarkEnd w:id="13"/>
    <w:p>
      <w:pPr>
        <w:pStyle w:val="5"/>
        <w:rPr>
          <w:rFonts w:ascii="宋体" w:hAnsi="宋体"/>
          <w:b w:val="0"/>
          <w:bCs w:val="0"/>
          <w:snapToGrid w:val="0"/>
          <w:kern w:val="0"/>
          <w:sz w:val="21"/>
          <w:szCs w:val="21"/>
        </w:rPr>
      </w:pPr>
      <w:r>
        <w:rPr>
          <w:rFonts w:hint="eastAsia" w:ascii="宋体" w:hAnsi="宋体" w:eastAsia="宋体"/>
          <w:b w:val="0"/>
          <w:bCs w:val="0"/>
          <w:snapToGrid w:val="0"/>
          <w:kern w:val="0"/>
          <w:sz w:val="21"/>
          <w:szCs w:val="21"/>
        </w:rPr>
        <w:t>招商編號：經貿招商（202</w:t>
      </w:r>
      <w:r>
        <w:rPr>
          <w:rFonts w:ascii="宋体" w:hAnsi="宋体" w:eastAsia="宋体"/>
          <w:b w:val="0"/>
          <w:bCs w:val="0"/>
          <w:snapToGrid w:val="0"/>
          <w:kern w:val="0"/>
          <w:sz w:val="21"/>
          <w:szCs w:val="21"/>
        </w:rPr>
        <w:t>2</w:t>
      </w:r>
      <w:r>
        <w:rPr>
          <w:rFonts w:hint="eastAsia" w:ascii="宋体" w:hAnsi="宋体" w:eastAsia="宋体"/>
          <w:b w:val="0"/>
          <w:bCs w:val="0"/>
          <w:snapToGrid w:val="0"/>
          <w:kern w:val="0"/>
          <w:sz w:val="21"/>
          <w:szCs w:val="21"/>
        </w:rPr>
        <w:t>）</w:t>
      </w:r>
      <w:r>
        <w:rPr>
          <w:rFonts w:ascii="宋体" w:hAnsi="宋体" w:eastAsia="宋体"/>
          <w:b w:val="0"/>
          <w:bCs w:val="0"/>
          <w:snapToGrid w:val="0"/>
          <w:kern w:val="0"/>
          <w:sz w:val="21"/>
          <w:szCs w:val="21"/>
        </w:rPr>
        <w:t>001</w:t>
      </w:r>
      <w:r>
        <w:rPr>
          <w:rFonts w:hint="eastAsia" w:ascii="宋体" w:hAnsi="宋体" w:eastAsia="宋体"/>
          <w:b w:val="0"/>
          <w:bCs w:val="0"/>
          <w:snapToGrid w:val="0"/>
          <w:kern w:val="0"/>
          <w:sz w:val="21"/>
          <w:szCs w:val="21"/>
        </w:rPr>
        <w:t>號</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0" w:name="_Toc71292483"/>
      <w:r>
        <w:rPr>
          <w:rFonts w:hint="eastAsia" w:eastAsia="宋体" w:cs="仿宋_GB2312" w:asciiTheme="minorEastAsia" w:hAnsiTheme="minorEastAsia"/>
          <w:b w:val="0"/>
          <w:bCs w:val="0"/>
          <w:sz w:val="21"/>
          <w:szCs w:val="21"/>
        </w:rPr>
        <w:t>招商人：</w:t>
      </w:r>
      <w:bookmarkEnd w:id="0"/>
      <w:r>
        <w:rPr>
          <w:rFonts w:hint="eastAsia" w:eastAsia="宋体" w:cs="仿宋_GB2312" w:asciiTheme="minorEastAsia" w:hAnsiTheme="minorEastAsia"/>
          <w:b w:val="0"/>
          <w:bCs w:val="0"/>
          <w:sz w:val="21"/>
          <w:szCs w:val="21"/>
        </w:rPr>
        <w:t>深圳市廣深鐵路列車經貿實業有限公司</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1" w:name="_Toc71292484"/>
      <w:r>
        <w:rPr>
          <w:rFonts w:hint="eastAsia" w:eastAsia="宋体" w:cs="仿宋_GB2312" w:asciiTheme="minorEastAsia" w:hAnsiTheme="minorEastAsia"/>
          <w:b w:val="0"/>
          <w:bCs w:val="0"/>
          <w:sz w:val="21"/>
          <w:szCs w:val="21"/>
        </w:rPr>
        <w:t>招商專案名稱：深圳市廣深鐵路列車經貿實業有限公司搬運服務業務外包專案</w:t>
      </w:r>
      <w:bookmarkEnd w:id="1"/>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2" w:name="_Toc71292485"/>
      <w:r>
        <w:rPr>
          <w:rFonts w:hint="eastAsia" w:eastAsia="宋体" w:cs="仿宋_GB2312" w:asciiTheme="minorEastAsia" w:hAnsiTheme="minorEastAsia"/>
          <w:b w:val="0"/>
          <w:bCs w:val="0"/>
          <w:sz w:val="21"/>
          <w:szCs w:val="21"/>
        </w:rPr>
        <w:t>招商業務基本情況：</w:t>
      </w:r>
      <w:bookmarkEnd w:id="2"/>
    </w:p>
    <w:p>
      <w:pPr>
        <w:spacing w:line="574" w:lineRule="exact"/>
        <w:ind w:firstLine="420" w:firstLineChars="200"/>
        <w:jc w:val="left"/>
        <w:rPr>
          <w:rFonts w:cs="仿宋_GB2312" w:asciiTheme="minorEastAsia" w:hAnsiTheme="minorEastAsia" w:eastAsiaTheme="minorEastAsia"/>
          <w:snapToGrid w:val="0"/>
          <w:kern w:val="0"/>
        </w:rPr>
      </w:pPr>
      <w:bookmarkStart w:id="3" w:name="_Hlk95940110"/>
      <w:r>
        <w:rPr>
          <w:rFonts w:hint="eastAsia" w:eastAsia="宋体" w:cs="仿宋_GB2312" w:asciiTheme="minorEastAsia" w:hAnsiTheme="minorEastAsia"/>
          <w:snapToGrid w:val="0"/>
          <w:kern w:val="0"/>
        </w:rPr>
        <w:t>1.服務範圍：</w:t>
      </w:r>
    </w:p>
    <w:p>
      <w:pPr>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深圳市廣深鐵路列車經貿實業有限公司搬運服務專案內容包括但不限於：（1）負責由經貿公司擔當的所有鐵路旅客列車餐料、商品、工藝品、備品以及動車組列車商務座、特一等座專項服務贈品及其他後勤服務過程中的搬運及相關搬運輔助作業；（2）負責經貿公司臨時加開、甩掛列車餐料、商品、工藝品、備品以及動車組列車商務座、特一等座專項服務贈品等的搬運服務工作；（3）負責經貿公司臨時委派的裝卸搬運工作；（4）負責經貿公司搬運輔助作業：東莞東倉庫、廣州東倉庫商品打碼及庫房整理，廣州南倉庫、深圳北倉庫發料、退料及庫房整備。為確保協助經貿公司做好搬運輔助工作，應提供7名工作人員（其中廣州南倉庫4名、深圳北倉庫2名、廣州東倉庫1名）單獨作業。</w:t>
      </w:r>
    </w:p>
    <w:p>
      <w:pPr>
        <w:spacing w:line="574" w:lineRule="exact"/>
        <w:ind w:firstLine="420" w:firstLineChars="200"/>
        <w:jc w:val="left"/>
        <w:rPr>
          <w:rFonts w:cs="仿宋_GB2312" w:asciiTheme="minorEastAsia" w:hAnsiTheme="minorEastAsia" w:eastAsiaTheme="minorEastAsia"/>
          <w:snapToGrid w:val="0"/>
          <w:kern w:val="0"/>
        </w:rPr>
      </w:pPr>
      <w:r>
        <w:rPr>
          <w:rFonts w:hint="eastAsia" w:eastAsia="宋体" w:cs="仿宋_GB2312" w:asciiTheme="minorEastAsia" w:hAnsiTheme="minorEastAsia"/>
          <w:snapToGrid w:val="0"/>
          <w:kern w:val="0"/>
        </w:rPr>
        <w:t>2.搬運服務清算內容：</w:t>
      </w:r>
    </w:p>
    <w:p>
      <w:pPr>
        <w:spacing w:line="574" w:lineRule="exact"/>
        <w:ind w:firstLine="420" w:firstLineChars="200"/>
        <w:jc w:val="left"/>
        <w:rPr>
          <w:rFonts w:cs="仿宋_GB2312" w:asciiTheme="minorEastAsia" w:hAnsiTheme="minorEastAsia" w:eastAsiaTheme="minorEastAsia"/>
          <w:snapToGrid w:val="0"/>
          <w:kern w:val="0"/>
        </w:rPr>
      </w:pPr>
      <w:r>
        <w:rPr>
          <w:rFonts w:hint="eastAsia" w:eastAsia="宋体" w:cs="仿宋_GB2312" w:asciiTheme="minorEastAsia" w:hAnsiTheme="minorEastAsia"/>
          <w:snapToGrid w:val="0"/>
          <w:kern w:val="0"/>
        </w:rPr>
        <w:t>（1）經貿公司擔當的圖定、臨客、旅遊列車、甩掛車的搬運服務工作；（2）經貿公司臨時委派的裝卸搬運服務工作；（3）搬運輔助作業費用已包含在招商搬運趟單價中，不再另行清算。</w:t>
      </w:r>
    </w:p>
    <w:p>
      <w:pPr>
        <w:spacing w:line="574" w:lineRule="exact"/>
        <w:ind w:firstLine="420" w:firstLineChars="200"/>
        <w:jc w:val="left"/>
        <w:rPr>
          <w:rFonts w:cs="仿宋_GB2312" w:asciiTheme="minorEastAsia" w:hAnsiTheme="minorEastAsia" w:eastAsiaTheme="minorEastAsia"/>
          <w:snapToGrid w:val="0"/>
          <w:kern w:val="0"/>
        </w:rPr>
      </w:pPr>
      <w:r>
        <w:rPr>
          <w:rFonts w:hint="eastAsia" w:eastAsia="宋体" w:cs="仿宋_GB2312" w:asciiTheme="minorEastAsia" w:hAnsiTheme="minorEastAsia"/>
          <w:snapToGrid w:val="0"/>
          <w:kern w:val="0"/>
        </w:rPr>
        <w:t>3.工作地點：</w:t>
      </w:r>
    </w:p>
    <w:p>
      <w:pPr>
        <w:snapToGrid w:val="0"/>
        <w:spacing w:line="574" w:lineRule="exact"/>
        <w:ind w:firstLine="420" w:firstLineChars="200"/>
        <w:rPr>
          <w:rFonts w:cs="仿宋_GB2312" w:asciiTheme="minorEastAsia" w:hAnsiTheme="minorEastAsia" w:eastAsiaTheme="minorEastAsia"/>
          <w:snapToGrid w:val="0"/>
          <w:kern w:val="0"/>
        </w:rPr>
      </w:pPr>
      <w:r>
        <w:rPr>
          <w:rFonts w:hint="eastAsia" w:eastAsia="宋体" w:cs="仿宋_GB2312" w:asciiTheme="minorEastAsia" w:hAnsiTheme="minorEastAsia"/>
          <w:snapToGrid w:val="0"/>
          <w:kern w:val="0"/>
        </w:rPr>
        <w:t>（1）廣州東站經貿倉庫（廣州市天河區東站路1號）；(2)廣州南站經貿倉庫（廣州市番禺區火車南站西北廣場原第四號售票廳）；(3)深圳北站（深圳市龍華區深圳火車北站）；(4)東莞東倉庫（東莞市常平鎮麥元火車站車庫客運整備大樓）；(5)列車經貿公司指定的作業場所；(6)如遇鐵路生產力佈局調整及不可抗力因素影響，相應增減作業場所。</w:t>
      </w:r>
    </w:p>
    <w:p>
      <w:pPr>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snapToGrid w:val="0"/>
          <w:kern w:val="0"/>
        </w:rPr>
        <w:t>4.</w:t>
      </w:r>
      <w:bookmarkStart w:id="4" w:name="_Hlk100915178"/>
      <w:r>
        <w:rPr>
          <w:rFonts w:hint="eastAsia" w:eastAsia="宋体" w:cs="仿宋_GB2312" w:asciiTheme="minorEastAsia" w:hAnsiTheme="minorEastAsia"/>
          <w:snapToGrid w:val="0"/>
          <w:kern w:val="0"/>
        </w:rPr>
        <w:t>服務時間</w:t>
      </w:r>
      <w:r>
        <w:rPr>
          <w:rFonts w:hint="eastAsia" w:eastAsia="宋体" w:cs="仿宋_GB2312" w:asciiTheme="minorEastAsia" w:hAnsiTheme="minorEastAsia"/>
        </w:rPr>
        <w:t>：自簽訂之日起為期一年。一年合同期滿後，根據服務品質評定結果可續簽不超過一次。</w:t>
      </w:r>
    </w:p>
    <w:bookmarkEnd w:id="4"/>
    <w:p>
      <w:pPr>
        <w:spacing w:line="574" w:lineRule="exact"/>
        <w:ind w:firstLine="420" w:firstLineChars="200"/>
        <w:jc w:val="left"/>
        <w:rPr>
          <w:rFonts w:cs="仿宋_GB2312" w:asciiTheme="minorEastAsia" w:hAnsiTheme="minorEastAsia" w:eastAsiaTheme="minorEastAsia"/>
          <w:snapToGrid w:val="0"/>
          <w:kern w:val="0"/>
        </w:rPr>
      </w:pPr>
      <w:r>
        <w:rPr>
          <w:rFonts w:hint="eastAsia" w:eastAsia="宋体" w:cs="仿宋_GB2312" w:asciiTheme="minorEastAsia" w:hAnsiTheme="minorEastAsia"/>
          <w:snapToGrid w:val="0"/>
          <w:kern w:val="0"/>
        </w:rPr>
        <w:t>5.招商最高限價：</w:t>
      </w:r>
    </w:p>
    <w:p>
      <w:pPr>
        <w:spacing w:line="574" w:lineRule="exact"/>
        <w:ind w:left="357"/>
        <w:rPr>
          <w:rFonts w:cs="仿宋_GB2312" w:asciiTheme="minorEastAsia" w:hAnsiTheme="minorEastAsia" w:eastAsiaTheme="minorEastAsia"/>
        </w:rPr>
      </w:pPr>
      <w:r>
        <w:rPr>
          <w:rFonts w:hint="eastAsia" w:eastAsia="宋体" w:cs="仿宋_GB2312" w:asciiTheme="minorEastAsia" w:hAnsiTheme="minorEastAsia"/>
        </w:rPr>
        <w:t>競商單價最高限價：</w:t>
      </w:r>
      <w:bookmarkStart w:id="5" w:name="_Hlk93914027"/>
      <w:r>
        <w:rPr>
          <w:rFonts w:hint="eastAsia" w:eastAsia="宋体" w:cs="仿宋_GB2312" w:asciiTheme="minorEastAsia" w:hAnsiTheme="minorEastAsia"/>
        </w:rPr>
        <w:t>人民幣156.2元/趟（含稅）</w:t>
      </w:r>
      <w:bookmarkEnd w:id="5"/>
      <w:r>
        <w:rPr>
          <w:rFonts w:hint="eastAsia" w:eastAsia="宋体" w:cs="仿宋_GB2312" w:asciiTheme="minorEastAsia" w:hAnsiTheme="minorEastAsia"/>
        </w:rPr>
        <w:t>。</w:t>
      </w:r>
    </w:p>
    <w:p>
      <w:pPr>
        <w:spacing w:line="574" w:lineRule="exact"/>
        <w:ind w:left="357"/>
        <w:rPr>
          <w:rFonts w:cs="仿宋_GB2312" w:asciiTheme="minorEastAsia" w:hAnsiTheme="minorEastAsia" w:eastAsiaTheme="minorEastAsia"/>
        </w:rPr>
      </w:pPr>
      <w:r>
        <w:rPr>
          <w:rFonts w:hint="eastAsia" w:eastAsia="宋体" w:cs="仿宋_GB2312" w:asciiTheme="minorEastAsia" w:hAnsiTheme="minorEastAsia"/>
        </w:rPr>
        <w:t>各作業點預計所需搬運列車趟數：</w:t>
      </w:r>
    </w:p>
    <w:tbl>
      <w:tblPr>
        <w:tblStyle w:val="6"/>
        <w:tblW w:w="6079" w:type="dxa"/>
        <w:tblInd w:w="1227" w:type="dxa"/>
        <w:tblLayout w:type="fixed"/>
        <w:tblCellMar>
          <w:top w:w="0" w:type="dxa"/>
          <w:left w:w="108" w:type="dxa"/>
          <w:bottom w:w="0" w:type="dxa"/>
          <w:right w:w="108" w:type="dxa"/>
        </w:tblCellMar>
      </w:tblPr>
      <w:tblGrid>
        <w:gridCol w:w="2225"/>
        <w:gridCol w:w="3854"/>
      </w:tblGrid>
      <w:tr>
        <w:tblPrEx>
          <w:tblCellMar>
            <w:top w:w="0" w:type="dxa"/>
            <w:left w:w="108" w:type="dxa"/>
            <w:bottom w:w="0" w:type="dxa"/>
            <w:right w:w="108" w:type="dxa"/>
          </w:tblCellMar>
        </w:tblPrEx>
        <w:trPr>
          <w:trHeight w:val="570" w:hRule="atLeast"/>
        </w:trPr>
        <w:tc>
          <w:tcPr>
            <w:tcW w:w="2225" w:type="dxa"/>
            <w:tcBorders>
              <w:top w:val="single" w:color="auto" w:sz="4" w:space="0"/>
              <w:left w:val="single" w:color="auto" w:sz="4" w:space="0"/>
              <w:bottom w:val="single" w:color="auto" w:sz="4" w:space="0"/>
              <w:right w:val="single" w:color="auto" w:sz="4" w:space="0"/>
            </w:tcBorders>
            <w:vAlign w:val="center"/>
          </w:tcPr>
          <w:p>
            <w:pPr>
              <w:widowControl/>
              <w:spacing w:line="574" w:lineRule="exact"/>
              <w:jc w:val="center"/>
              <w:rPr>
                <w:rFonts w:cs="仿宋_GB2312" w:asciiTheme="minorEastAsia" w:hAnsiTheme="minorEastAsia" w:eastAsiaTheme="minorEastAsia"/>
              </w:rPr>
            </w:pPr>
            <w:r>
              <w:rPr>
                <w:rFonts w:hint="eastAsia" w:eastAsia="宋体" w:cs="仿宋_GB2312" w:asciiTheme="minorEastAsia" w:hAnsiTheme="minorEastAsia"/>
              </w:rPr>
              <w:t>倉庫</w:t>
            </w:r>
          </w:p>
        </w:tc>
        <w:tc>
          <w:tcPr>
            <w:tcW w:w="3854" w:type="dxa"/>
            <w:tcBorders>
              <w:top w:val="single" w:color="auto" w:sz="4" w:space="0"/>
              <w:left w:val="nil"/>
              <w:bottom w:val="single" w:color="auto" w:sz="4" w:space="0"/>
              <w:right w:val="single" w:color="auto" w:sz="4" w:space="0"/>
            </w:tcBorders>
            <w:vAlign w:val="center"/>
          </w:tcPr>
          <w:p>
            <w:pPr>
              <w:widowControl/>
              <w:spacing w:line="574" w:lineRule="exact"/>
              <w:jc w:val="center"/>
              <w:rPr>
                <w:rFonts w:cs="仿宋_GB2312" w:asciiTheme="minorEastAsia" w:hAnsiTheme="minorEastAsia" w:eastAsiaTheme="minorEastAsia"/>
              </w:rPr>
            </w:pPr>
            <w:r>
              <w:rPr>
                <w:rFonts w:hint="eastAsia" w:eastAsia="宋体" w:cs="仿宋_GB2312" w:asciiTheme="minorEastAsia" w:hAnsiTheme="minorEastAsia"/>
              </w:rPr>
              <w:t>預計一年需作業趟數</w:t>
            </w:r>
          </w:p>
        </w:tc>
      </w:tr>
      <w:tr>
        <w:tblPrEx>
          <w:tblCellMar>
            <w:top w:w="0" w:type="dxa"/>
            <w:left w:w="108" w:type="dxa"/>
            <w:bottom w:w="0" w:type="dxa"/>
            <w:right w:w="108" w:type="dxa"/>
          </w:tblCellMar>
        </w:tblPrEx>
        <w:trPr>
          <w:trHeight w:val="342" w:hRule="atLeast"/>
        </w:trPr>
        <w:tc>
          <w:tcPr>
            <w:tcW w:w="2225" w:type="dxa"/>
            <w:tcBorders>
              <w:top w:val="nil"/>
              <w:left w:val="single" w:color="auto" w:sz="4" w:space="0"/>
              <w:bottom w:val="single" w:color="auto" w:sz="4" w:space="0"/>
              <w:right w:val="single" w:color="auto" w:sz="4" w:space="0"/>
            </w:tcBorders>
            <w:vAlign w:val="center"/>
          </w:tcPr>
          <w:p>
            <w:pPr>
              <w:widowControl/>
              <w:spacing w:line="574" w:lineRule="exact"/>
              <w:jc w:val="center"/>
              <w:rPr>
                <w:rFonts w:cs="仿宋_GB2312" w:asciiTheme="minorEastAsia" w:hAnsiTheme="minorEastAsia" w:eastAsiaTheme="minorEastAsia"/>
              </w:rPr>
            </w:pPr>
            <w:r>
              <w:rPr>
                <w:rFonts w:hint="eastAsia" w:eastAsia="宋体" w:cs="仿宋_GB2312" w:asciiTheme="minorEastAsia" w:hAnsiTheme="minorEastAsia"/>
              </w:rPr>
              <w:t>廣州東倉庫</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eastAsia="宋体" w:cs="仿宋_GB2312" w:asciiTheme="minorEastAsia" w:hAnsiTheme="minorEastAsia"/>
              </w:rPr>
              <w:t>2210</w:t>
            </w:r>
          </w:p>
        </w:tc>
      </w:tr>
      <w:tr>
        <w:tblPrEx>
          <w:tblCellMar>
            <w:top w:w="0" w:type="dxa"/>
            <w:left w:w="108" w:type="dxa"/>
            <w:bottom w:w="0" w:type="dxa"/>
            <w:right w:w="108" w:type="dxa"/>
          </w:tblCellMar>
        </w:tblPrEx>
        <w:trPr>
          <w:trHeight w:val="285" w:hRule="atLeast"/>
        </w:trPr>
        <w:tc>
          <w:tcPr>
            <w:tcW w:w="2225" w:type="dxa"/>
            <w:tcBorders>
              <w:top w:val="nil"/>
              <w:left w:val="single" w:color="auto" w:sz="4" w:space="0"/>
              <w:bottom w:val="single" w:color="auto" w:sz="4" w:space="0"/>
              <w:right w:val="single" w:color="auto" w:sz="4" w:space="0"/>
            </w:tcBorders>
            <w:vAlign w:val="bottom"/>
          </w:tcPr>
          <w:p>
            <w:pPr>
              <w:widowControl/>
              <w:spacing w:line="574" w:lineRule="exact"/>
              <w:jc w:val="center"/>
              <w:rPr>
                <w:rFonts w:cs="仿宋_GB2312" w:asciiTheme="minorEastAsia" w:hAnsiTheme="minorEastAsia" w:eastAsiaTheme="minorEastAsia"/>
              </w:rPr>
            </w:pPr>
            <w:r>
              <w:rPr>
                <w:rFonts w:hint="eastAsia" w:eastAsia="宋体" w:cs="仿宋_GB2312" w:asciiTheme="minorEastAsia" w:hAnsiTheme="minorEastAsia"/>
              </w:rPr>
              <w:t>廣州南倉庫</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eastAsia="宋体" w:cs="仿宋_GB2312" w:asciiTheme="minorEastAsia" w:hAnsiTheme="minorEastAsia"/>
              </w:rPr>
              <w:t>36150</w:t>
            </w:r>
          </w:p>
        </w:tc>
      </w:tr>
      <w:tr>
        <w:tblPrEx>
          <w:tblCellMar>
            <w:top w:w="0" w:type="dxa"/>
            <w:left w:w="108" w:type="dxa"/>
            <w:bottom w:w="0" w:type="dxa"/>
            <w:right w:w="108" w:type="dxa"/>
          </w:tblCellMar>
        </w:tblPrEx>
        <w:trPr>
          <w:trHeight w:val="285" w:hRule="atLeast"/>
        </w:trPr>
        <w:tc>
          <w:tcPr>
            <w:tcW w:w="2225" w:type="dxa"/>
            <w:tcBorders>
              <w:top w:val="nil"/>
              <w:left w:val="single" w:color="auto" w:sz="4" w:space="0"/>
              <w:bottom w:val="single" w:color="auto" w:sz="4" w:space="0"/>
              <w:right w:val="single" w:color="auto" w:sz="4" w:space="0"/>
            </w:tcBorders>
            <w:vAlign w:val="bottom"/>
          </w:tcPr>
          <w:p>
            <w:pPr>
              <w:widowControl/>
              <w:spacing w:line="574" w:lineRule="exact"/>
              <w:jc w:val="center"/>
              <w:rPr>
                <w:rFonts w:cs="仿宋_GB2312" w:asciiTheme="minorEastAsia" w:hAnsiTheme="minorEastAsia" w:eastAsiaTheme="minorEastAsia"/>
              </w:rPr>
            </w:pPr>
            <w:r>
              <w:rPr>
                <w:rFonts w:hint="eastAsia" w:eastAsia="宋体" w:cs="仿宋_GB2312" w:asciiTheme="minorEastAsia" w:hAnsiTheme="minorEastAsia"/>
              </w:rPr>
              <w:t>深圳北倉庫</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eastAsia="宋体" w:cs="仿宋_GB2312" w:asciiTheme="minorEastAsia" w:hAnsiTheme="minorEastAsia"/>
              </w:rPr>
              <w:t>11521</w:t>
            </w:r>
          </w:p>
        </w:tc>
      </w:tr>
      <w:tr>
        <w:tblPrEx>
          <w:tblCellMar>
            <w:top w:w="0" w:type="dxa"/>
            <w:left w:w="108" w:type="dxa"/>
            <w:bottom w:w="0" w:type="dxa"/>
            <w:right w:w="108" w:type="dxa"/>
          </w:tblCellMar>
        </w:tblPrEx>
        <w:trPr>
          <w:trHeight w:val="285" w:hRule="atLeast"/>
        </w:trPr>
        <w:tc>
          <w:tcPr>
            <w:tcW w:w="2225" w:type="dxa"/>
            <w:tcBorders>
              <w:top w:val="nil"/>
              <w:left w:val="single" w:color="auto" w:sz="4" w:space="0"/>
              <w:bottom w:val="single" w:color="auto" w:sz="4" w:space="0"/>
              <w:right w:val="single" w:color="auto" w:sz="4" w:space="0"/>
            </w:tcBorders>
            <w:vAlign w:val="bottom"/>
          </w:tcPr>
          <w:p>
            <w:pPr>
              <w:widowControl/>
              <w:spacing w:line="574" w:lineRule="exact"/>
              <w:jc w:val="center"/>
              <w:rPr>
                <w:rFonts w:cs="仿宋_GB2312" w:asciiTheme="minorEastAsia" w:hAnsiTheme="minorEastAsia" w:eastAsiaTheme="minorEastAsia"/>
              </w:rPr>
            </w:pPr>
            <w:r>
              <w:rPr>
                <w:rFonts w:hint="eastAsia" w:eastAsia="宋体" w:cs="仿宋_GB2312" w:asciiTheme="minorEastAsia" w:hAnsiTheme="minorEastAsia"/>
              </w:rPr>
              <w:t>東莞東倉庫</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eastAsia="宋体" w:cs="仿宋_GB2312" w:asciiTheme="minorEastAsia" w:hAnsiTheme="minorEastAsia"/>
              </w:rPr>
              <w:t>2039</w:t>
            </w:r>
          </w:p>
        </w:tc>
      </w:tr>
      <w:tr>
        <w:tblPrEx>
          <w:tblCellMar>
            <w:top w:w="0" w:type="dxa"/>
            <w:left w:w="108" w:type="dxa"/>
            <w:bottom w:w="0" w:type="dxa"/>
            <w:right w:w="108" w:type="dxa"/>
          </w:tblCellMar>
        </w:tblPrEx>
        <w:trPr>
          <w:trHeight w:val="285" w:hRule="atLeast"/>
        </w:trPr>
        <w:tc>
          <w:tcPr>
            <w:tcW w:w="2225" w:type="dxa"/>
            <w:tcBorders>
              <w:top w:val="nil"/>
              <w:left w:val="single" w:color="auto" w:sz="4" w:space="0"/>
              <w:bottom w:val="single" w:color="auto" w:sz="4" w:space="0"/>
              <w:right w:val="single" w:color="auto" w:sz="4" w:space="0"/>
            </w:tcBorders>
            <w:vAlign w:val="bottom"/>
          </w:tcPr>
          <w:p>
            <w:pPr>
              <w:widowControl/>
              <w:spacing w:line="574" w:lineRule="exact"/>
              <w:jc w:val="center"/>
              <w:rPr>
                <w:rFonts w:cs="仿宋_GB2312" w:asciiTheme="minorEastAsia" w:hAnsiTheme="minorEastAsia" w:eastAsiaTheme="minorEastAsia"/>
              </w:rPr>
            </w:pPr>
            <w:r>
              <w:rPr>
                <w:rFonts w:hint="eastAsia" w:eastAsia="宋体" w:cs="仿宋_GB2312" w:asciiTheme="minorEastAsia" w:hAnsiTheme="minorEastAsia"/>
              </w:rPr>
              <w:t>合計</w:t>
            </w:r>
          </w:p>
        </w:tc>
        <w:tc>
          <w:tcPr>
            <w:tcW w:w="3854" w:type="dxa"/>
            <w:tcBorders>
              <w:top w:val="nil"/>
              <w:left w:val="nil"/>
              <w:bottom w:val="single" w:color="auto" w:sz="4" w:space="0"/>
              <w:right w:val="single" w:color="auto" w:sz="4" w:space="0"/>
            </w:tcBorders>
            <w:vAlign w:val="center"/>
          </w:tcPr>
          <w:p>
            <w:pPr>
              <w:widowControl/>
              <w:spacing w:line="574" w:lineRule="exact"/>
              <w:jc w:val="center"/>
              <w:textAlignment w:val="center"/>
              <w:rPr>
                <w:rFonts w:cs="仿宋_GB2312" w:asciiTheme="minorEastAsia" w:hAnsiTheme="minorEastAsia" w:eastAsiaTheme="minorEastAsia"/>
              </w:rPr>
            </w:pPr>
            <w:r>
              <w:rPr>
                <w:rFonts w:hint="eastAsia" w:eastAsia="宋体" w:cs="仿宋_GB2312" w:asciiTheme="minorEastAsia" w:hAnsiTheme="minorEastAsia"/>
              </w:rPr>
              <w:t>51920</w:t>
            </w:r>
          </w:p>
        </w:tc>
      </w:tr>
    </w:tbl>
    <w:p>
      <w:pPr>
        <w:spacing w:line="574" w:lineRule="exact"/>
        <w:ind w:firstLine="210" w:firstLineChars="100"/>
        <w:rPr>
          <w:rFonts w:cs="仿宋_GB2312" w:asciiTheme="minorEastAsia" w:hAnsiTheme="minorEastAsia" w:eastAsiaTheme="minorEastAsia"/>
        </w:rPr>
      </w:pPr>
      <w:r>
        <w:rPr>
          <w:rFonts w:hint="eastAsia" w:eastAsia="宋体" w:cs="仿宋_GB2312" w:asciiTheme="minorEastAsia" w:hAnsiTheme="minorEastAsia"/>
        </w:rPr>
        <w:t>注：</w:t>
      </w:r>
    </w:p>
    <w:p>
      <w:pPr>
        <w:snapToGri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(1)搬運費用按實際產生的搬運列車趟數據實結算，每趟車以車次為准。</w:t>
      </w:r>
    </w:p>
    <w:p>
      <w:pPr>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(2)合同期限1+1年，即競商人在第一個1年合同期內各項合作良好，且無任何違約行為，且基本招商條件沒有發生變化，雙方協商一致後可續簽一年，總合作期不超兩年，合同為一年一簽。</w:t>
      </w:r>
    </w:p>
    <w:p>
      <w:pPr>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(3)遇有鐵路政策調整或列車經貿公司運輸生產佈局調整等變化因素致使搬運人員工作地點或搬運趟數發生變化，搬運服務公司需要全力配合列車經貿公司的作業要求。</w:t>
      </w:r>
    </w:p>
    <w:p>
      <w:pPr>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(4)遇列車經貿公司臨時委派的裝卸搬運，不論時間、人數及搬運工作量，每委派1次均按1趟進行結算。每月以實際次數為准。</w:t>
      </w:r>
    </w:p>
    <w:p>
      <w:pPr>
        <w:snapToGri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(5)搬運作業過程中，必須保證每輛小推車的作業人數不少於2人。</w:t>
      </w:r>
    </w:p>
    <w:p>
      <w:pPr>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snapToGrid w:val="0"/>
          <w:kern w:val="0"/>
        </w:rPr>
        <w:t>競商人報價超過限價為無效競商，招商人將拒絕接受其競商。</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6" w:name="_Toc71292499"/>
      <w:r>
        <w:rPr>
          <w:rFonts w:hint="eastAsia" w:eastAsia="宋体" w:cs="仿宋_GB2312" w:asciiTheme="minorEastAsia" w:hAnsiTheme="minorEastAsia"/>
          <w:b w:val="0"/>
          <w:bCs w:val="0"/>
          <w:sz w:val="21"/>
          <w:szCs w:val="21"/>
        </w:rPr>
        <w:t>競商人資格要求</w:t>
      </w:r>
      <w:bookmarkEnd w:id="6"/>
    </w:p>
    <w:p>
      <w:pPr>
        <w:autoSpaceDE w:val="0"/>
        <w:autoSpaceDN w:val="0"/>
        <w:adjustRightInd w:val="0"/>
        <w:spacing w:line="574" w:lineRule="exact"/>
        <w:ind w:firstLine="420" w:firstLineChars="200"/>
        <w:jc w:val="left"/>
        <w:rPr>
          <w:rFonts w:cs="仿宋_GB2312" w:asciiTheme="minorEastAsia" w:hAnsiTheme="minorEastAsia" w:eastAsiaTheme="minorEastAsia"/>
          <w:i/>
          <w:iCs/>
        </w:rPr>
      </w:pPr>
      <w:bookmarkStart w:id="7" w:name="_Hlk100915346"/>
      <w:r>
        <w:rPr>
          <w:rFonts w:hint="eastAsia" w:eastAsia="宋体" w:cs="仿宋_GB2312" w:asciiTheme="minorEastAsia" w:hAnsiTheme="minorEastAsia"/>
        </w:rPr>
        <w:t>1.競商人必須為在中華人民共和國境內註冊登記的獨立法人機構或其他組織，企業實收資本100萬元及以上。</w:t>
      </w:r>
      <w:r>
        <w:rPr>
          <w:rFonts w:hint="eastAsia" w:eastAsia="宋体" w:cs="仿宋_GB2312" w:asciiTheme="minorEastAsia" w:hAnsiTheme="minorEastAsia"/>
          <w:snapToGrid w:val="0"/>
        </w:rPr>
        <w:t>【提供營業執照影本】</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2.截止到競商檔遞交截止之日，競商人成立並運營滿3年及以上。競商人應具備裝卸搬運服務相關業務資質。</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3.競商人業績：競商人近三年（2019年2月至競商檔遞交截止之日止) 承擔過至少一項承擔過同類裝卸搬運業務服務專案業績。（須提供服務合同）。</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4.競商人近兩年財務狀況良好，具有依法納稅的良好記錄，並具備一般納稅人資格，具備開具增值稅專用發票的能力；提供近兩年（2019年、2020年）經註冊會計師事務所審計的財務報告；一般納稅人證明材料（如：加蓋“增值稅一般納稅人資格”戳記的《稅務登記證》、《一般納稅人資格證書》、《一般納稅人申請認定表》、主管稅局同意其為增值稅一般納稅人的《稅務事項通知書》等資料，提供上述資料的任意一種即可）。</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5.競商人須具有良好的社會信譽；競商人參加招商活動前三年內在經營活動中沒有被“列入經營異常名錄資訊”、“列入嚴重違法失信企業名單（黑名單）資訊”，提供2019年2月至競商截止日前5天內國家企業信用資訊公示系統中此二項完整內容截圖，僅以國家企業信用資訊公示系統為評審依據，其他網站或檔不作為評審依據；競商人不屬於失信被執行人，提供競商截止日前5日內在“信用中國”網站www.creditchina.gov.cn查詢結果截圖；競商人及競商人的法定代表人近一年內（競商檔遞交截止日前1年內）不曾有人民法院生效判決、裁定認定的行賄犯罪記錄，提供競商截止日前5日內在“中國裁判文書網”網站http://wenshu.court.gov.cn/查詢結果截圖，查詢篩選關鍵字應分別包括①“競商人”、“單位行賄罪”；②“競商人的法定代表人”、“行賄罪”；③“擬委派的專案負責人”、“行賄罪”。</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6.本招商專案不接受聯合體競商。</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7.與招商人此前沒有任何事宜的糾紛，在中國鐵路廣州局集團有限公司管內沒有競商違規行為和合同履約違約行為。</w:t>
      </w:r>
    </w:p>
    <w:bookmarkEnd w:id="3"/>
    <w:bookmarkEnd w:id="7"/>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8" w:name="_Toc71292500"/>
      <w:r>
        <w:rPr>
          <w:rFonts w:hint="eastAsia" w:eastAsia="宋体" w:cs="仿宋_GB2312" w:asciiTheme="minorEastAsia" w:hAnsiTheme="minorEastAsia"/>
          <w:b w:val="0"/>
          <w:bCs w:val="0"/>
          <w:sz w:val="21"/>
          <w:szCs w:val="21"/>
        </w:rPr>
        <w:t>競商報名及招商檔的獲取</w:t>
      </w:r>
      <w:bookmarkEnd w:id="8"/>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1.凡有意參加競商者，請於2022年</w:t>
      </w:r>
      <w:r>
        <w:rPr>
          <w:rFonts w:eastAsia="宋体" w:cs="仿宋_GB2312" w:asciiTheme="minorEastAsia" w:hAnsiTheme="minorEastAsia"/>
          <w:u w:val="single"/>
        </w:rPr>
        <w:t>4</w:t>
      </w:r>
      <w:r>
        <w:rPr>
          <w:rFonts w:hint="eastAsia" w:eastAsia="宋体" w:cs="仿宋_GB2312" w:asciiTheme="minorEastAsia" w:hAnsiTheme="minorEastAsia"/>
        </w:rPr>
        <w:t>月</w:t>
      </w:r>
      <w:r>
        <w:rPr>
          <w:rFonts w:eastAsia="宋体" w:cs="仿宋_GB2312" w:asciiTheme="minorEastAsia" w:hAnsiTheme="minorEastAsia"/>
          <w:u w:val="single"/>
        </w:rPr>
        <w:t>29</w:t>
      </w:r>
      <w:r>
        <w:rPr>
          <w:rFonts w:hint="eastAsia" w:eastAsia="宋体" w:cs="仿宋_GB2312" w:asciiTheme="minorEastAsia" w:hAnsiTheme="minorEastAsia"/>
        </w:rPr>
        <w:t>日至</w:t>
      </w:r>
      <w:r>
        <w:rPr>
          <w:rFonts w:eastAsia="宋体" w:cs="仿宋_GB2312" w:asciiTheme="minorEastAsia" w:hAnsiTheme="minorEastAsia"/>
          <w:u w:val="single"/>
        </w:rPr>
        <w:t>5</w:t>
      </w:r>
      <w:r>
        <w:rPr>
          <w:rFonts w:hint="eastAsia" w:eastAsia="宋体" w:cs="仿宋_GB2312" w:asciiTheme="minorEastAsia" w:hAnsiTheme="minorEastAsia"/>
        </w:rPr>
        <w:t>月</w:t>
      </w:r>
      <w:r>
        <w:rPr>
          <w:rFonts w:eastAsia="宋体" w:cs="仿宋_GB2312" w:asciiTheme="minorEastAsia" w:hAnsiTheme="minorEastAsia"/>
          <w:u w:val="single"/>
        </w:rPr>
        <w:t>11</w:t>
      </w:r>
      <w:r>
        <w:rPr>
          <w:rFonts w:hint="eastAsia" w:eastAsia="宋体" w:cs="仿宋_GB2312" w:asciiTheme="minorEastAsia" w:hAnsiTheme="minorEastAsia"/>
        </w:rPr>
        <w:t>日，每日上午 9 時00分至 11時00分，下午14時00分至16時00分（北京時間，下同），將企業營業執照影本、法人授權書、購買人身份證（及影本）、匯款憑證影本、招商檔購買登記表（招商公告附件一）、接收檔通知的郵箱及信件往來的郵寄地址發送至我司郵箱crmscgz2019@163.com此為獲取招商檔確認的重要依據。</w:t>
      </w:r>
    </w:p>
    <w:p>
      <w:pPr>
        <w:autoSpaceDE w:val="0"/>
        <w:autoSpaceDN w:val="0"/>
        <w:adjustRightInd w:val="0"/>
        <w:spacing w:line="574" w:lineRule="exact"/>
        <w:ind w:firstLine="420" w:firstLineChars="200"/>
        <w:jc w:val="left"/>
        <w:rPr>
          <w:rFonts w:cs="仿宋_GB2312" w:asciiTheme="minorEastAsia" w:hAnsiTheme="minorEastAsia" w:eastAsiaTheme="minorEastAsia"/>
        </w:rPr>
      </w:pPr>
      <w:r>
        <w:rPr>
          <w:rFonts w:hint="eastAsia" w:eastAsia="宋体" w:cs="仿宋_GB2312" w:asciiTheme="minorEastAsia" w:hAnsiTheme="minorEastAsia"/>
        </w:rPr>
        <w:t>2.若有效報名的競商人不足2家，將重新組織招商，已經報名參加了第一次招商的競商人，將免費獲得二次招商檔。</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9" w:name="_Toc71292501"/>
      <w:r>
        <w:rPr>
          <w:rFonts w:hint="eastAsia" w:eastAsia="宋体" w:cs="仿宋_GB2312" w:asciiTheme="minorEastAsia" w:hAnsiTheme="minorEastAsia"/>
          <w:b w:val="0"/>
          <w:bCs w:val="0"/>
          <w:sz w:val="21"/>
          <w:szCs w:val="21"/>
        </w:rPr>
        <w:t>競商檔的遞交</w:t>
      </w:r>
      <w:bookmarkEnd w:id="9"/>
    </w:p>
    <w:p>
      <w:pPr>
        <w:widowControl/>
        <w:spacing w:line="574" w:lineRule="exact"/>
        <w:ind w:right="-88" w:rightChars="-42" w:firstLine="420" w:firstLineChars="200"/>
        <w:rPr>
          <w:rFonts w:cs="仿宋_GB2312" w:asciiTheme="minorEastAsia" w:hAnsiTheme="minorEastAsia" w:eastAsiaTheme="minorEastAsia"/>
        </w:rPr>
      </w:pPr>
      <w:r>
        <w:rPr>
          <w:rFonts w:hint="eastAsia" w:eastAsia="宋体" w:cs="仿宋_GB2312" w:asciiTheme="minorEastAsia" w:hAnsiTheme="minorEastAsia"/>
        </w:rPr>
        <w:t>1.遞交時間：</w:t>
      </w:r>
      <w:r>
        <w:rPr>
          <w:rFonts w:hint="eastAsia" w:eastAsia="宋体" w:cs="仿宋_GB2312" w:asciiTheme="minorEastAsia" w:hAnsiTheme="minorEastAsia"/>
          <w:snapToGrid w:val="0"/>
          <w:kern w:val="0"/>
        </w:rPr>
        <w:t>本項目遞交競商檔為2022年</w:t>
      </w:r>
      <w:r>
        <w:rPr>
          <w:rFonts w:eastAsia="宋体" w:cs="仿宋_GB2312" w:asciiTheme="minorEastAsia" w:hAnsiTheme="minorEastAsia"/>
          <w:u w:val="single"/>
        </w:rPr>
        <w:t>5</w:t>
      </w:r>
      <w:r>
        <w:rPr>
          <w:rFonts w:hint="eastAsia" w:eastAsia="宋体" w:cs="仿宋_GB2312" w:asciiTheme="minorEastAsia" w:hAnsiTheme="minorEastAsia"/>
          <w:snapToGrid w:val="0"/>
          <w:kern w:val="0"/>
        </w:rPr>
        <w:t>月</w:t>
      </w:r>
      <w:r>
        <w:rPr>
          <w:rFonts w:eastAsia="宋体" w:cs="仿宋_GB2312" w:asciiTheme="minorEastAsia" w:hAnsiTheme="minorEastAsia"/>
          <w:u w:val="single"/>
        </w:rPr>
        <w:t>27</w:t>
      </w:r>
      <w:r>
        <w:rPr>
          <w:rFonts w:hint="eastAsia" w:eastAsia="宋体" w:cs="仿宋_GB2312" w:asciiTheme="minorEastAsia" w:hAnsiTheme="minorEastAsia"/>
          <w:snapToGrid w:val="0"/>
          <w:kern w:val="0"/>
        </w:rPr>
        <w:t>日09 時00分至09時30分（北京時間）；遞交競商檔的截止時間（競商截止時間，同公開唱價時間）為2022年</w:t>
      </w:r>
      <w:r>
        <w:rPr>
          <w:rFonts w:eastAsia="宋体" w:cs="仿宋_GB2312" w:asciiTheme="minorEastAsia" w:hAnsiTheme="minorEastAsia"/>
          <w:u w:val="single"/>
        </w:rPr>
        <w:t>5</w:t>
      </w:r>
      <w:r>
        <w:rPr>
          <w:rFonts w:hint="eastAsia" w:eastAsia="宋体" w:cs="仿宋_GB2312" w:asciiTheme="minorEastAsia" w:hAnsiTheme="minorEastAsia"/>
          <w:snapToGrid w:val="0"/>
          <w:kern w:val="0"/>
        </w:rPr>
        <w:t>月</w:t>
      </w:r>
      <w:r>
        <w:rPr>
          <w:rFonts w:eastAsia="宋体" w:cs="仿宋_GB2312" w:asciiTheme="minorEastAsia" w:hAnsiTheme="minorEastAsia"/>
          <w:u w:val="single"/>
        </w:rPr>
        <w:t>27</w:t>
      </w:r>
      <w:r>
        <w:rPr>
          <w:rFonts w:hint="eastAsia" w:eastAsia="宋体" w:cs="仿宋_GB2312" w:asciiTheme="minorEastAsia" w:hAnsiTheme="minorEastAsia"/>
          <w:snapToGrid w:val="0"/>
          <w:kern w:val="0"/>
        </w:rPr>
        <w:t>日09時30分（北京時間）。</w:t>
      </w:r>
    </w:p>
    <w:p>
      <w:pPr>
        <w:widowControl/>
        <w:spacing w:line="574" w:lineRule="exact"/>
        <w:ind w:right="-88" w:rightChars="-42" w:firstLine="420" w:firstLineChars="200"/>
        <w:rPr>
          <w:rFonts w:cs="仿宋_GB2312" w:asciiTheme="minorEastAsia" w:hAnsiTheme="minorEastAsia" w:eastAsiaTheme="minorEastAsia"/>
        </w:rPr>
      </w:pPr>
      <w:r>
        <w:rPr>
          <w:rFonts w:hint="eastAsia" w:eastAsia="宋体" w:cs="仿宋_GB2312" w:asciiTheme="minorEastAsia" w:hAnsiTheme="minorEastAsia"/>
        </w:rPr>
        <w:t>2.遞交地點：廣州市越秀區農林下路5號億達大廈十樓1003會議室。</w:t>
      </w:r>
    </w:p>
    <w:p>
      <w:pPr>
        <w:widowControl/>
        <w:spacing w:line="574" w:lineRule="exact"/>
        <w:ind w:right="-88" w:rightChars="-42" w:firstLine="420" w:firstLineChars="200"/>
        <w:rPr>
          <w:rFonts w:cs="仿宋_GB2312" w:asciiTheme="minorEastAsia" w:hAnsiTheme="minorEastAsia" w:eastAsiaTheme="minorEastAsia"/>
        </w:rPr>
      </w:pPr>
      <w:r>
        <w:rPr>
          <w:rFonts w:hint="eastAsia" w:eastAsia="宋体" w:cs="仿宋_GB2312" w:asciiTheme="minorEastAsia" w:hAnsiTheme="minorEastAsia"/>
        </w:rPr>
        <w:t>3.逾期送達或者未送達指定遞交地點的競商檔,招商人不予受理。</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10" w:name="_Toc71292502"/>
      <w:r>
        <w:rPr>
          <w:rFonts w:hint="eastAsia" w:eastAsia="宋体" w:cs="仿宋_GB2312" w:asciiTheme="minorEastAsia" w:hAnsiTheme="minorEastAsia"/>
          <w:b w:val="0"/>
          <w:bCs w:val="0"/>
          <w:sz w:val="21"/>
          <w:szCs w:val="21"/>
        </w:rPr>
        <w:t>競商保證金的交納</w:t>
      </w:r>
      <w:bookmarkEnd w:id="10"/>
    </w:p>
    <w:p>
      <w:pPr>
        <w:widowControl/>
        <w:spacing w:line="574" w:lineRule="exact"/>
        <w:ind w:left="-178" w:leftChars="-85" w:right="-334" w:rightChars="-159" w:firstLine="514" w:firstLineChars="245"/>
        <w:rPr>
          <w:rFonts w:cs="仿宋_GB2312" w:asciiTheme="minorEastAsia" w:hAnsiTheme="minorEastAsia" w:eastAsiaTheme="minorEastAsia"/>
        </w:rPr>
      </w:pPr>
      <w:r>
        <w:rPr>
          <w:rFonts w:hint="eastAsia" w:eastAsia="宋体" w:cs="仿宋_GB2312" w:asciiTheme="minorEastAsia" w:hAnsiTheme="minorEastAsia"/>
        </w:rPr>
        <w:t>參與業務競商須交納競商保證金，具體金額及要求見招商檔。未按期交納競商保證金的競商人視為不合格競商人,不能參加招商評審會。</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r>
        <w:rPr>
          <w:rFonts w:hint="eastAsia" w:eastAsia="宋体" w:cs="仿宋_GB2312" w:asciiTheme="minorEastAsia" w:hAnsiTheme="minorEastAsia"/>
          <w:b w:val="0"/>
          <w:bCs w:val="0"/>
          <w:sz w:val="21"/>
          <w:szCs w:val="21"/>
        </w:rPr>
        <w:t>發佈媒介</w:t>
      </w:r>
    </w:p>
    <w:p>
      <w:pPr>
        <w:widowControl/>
        <w:spacing w:line="574" w:lineRule="exact"/>
        <w:ind w:left="-178" w:leftChars="-85" w:right="-334" w:rightChars="-159" w:firstLine="514" w:firstLineChars="245"/>
        <w:rPr>
          <w:rFonts w:cs="仿宋_GB2312" w:asciiTheme="minorEastAsia" w:hAnsiTheme="minorEastAsia" w:eastAsiaTheme="minorEastAsia"/>
        </w:rPr>
      </w:pPr>
      <w:r>
        <w:rPr>
          <w:rFonts w:hint="eastAsia" w:eastAsia="宋体" w:cs="仿宋_GB2312" w:asciiTheme="minorEastAsia" w:hAnsiTheme="minorEastAsia"/>
        </w:rPr>
        <w:t>本次招商公告同時在廣鐵招商網（廣鐵招商網網址：http://www.gzrailwaybiz.com.cn）、中國鐵物電子招投標平臺網（http://www.bidding-crmsc.com.cn/）、中國招標投標公共服務平臺（http://www.cebpubservice.com/）以及廣深鐵路股份有限公司官網主頁（http://www.gsrc.com/）上發佈。</w:t>
      </w:r>
    </w:p>
    <w:p>
      <w:pPr>
        <w:pStyle w:val="5"/>
        <w:numPr>
          <w:ilvl w:val="0"/>
          <w:numId w:val="1"/>
        </w:numPr>
        <w:spacing w:before="0" w:after="0" w:line="574" w:lineRule="exact"/>
        <w:jc w:val="left"/>
        <w:outlineLvl w:val="1"/>
        <w:rPr>
          <w:rFonts w:cs="仿宋_GB2312" w:asciiTheme="minorEastAsia" w:hAnsiTheme="minorEastAsia" w:eastAsiaTheme="minorEastAsia"/>
          <w:b w:val="0"/>
          <w:bCs w:val="0"/>
          <w:sz w:val="21"/>
          <w:szCs w:val="21"/>
        </w:rPr>
      </w:pPr>
      <w:bookmarkStart w:id="11" w:name="_Toc71292503"/>
      <w:r>
        <w:rPr>
          <w:rFonts w:hint="eastAsia" w:eastAsia="宋体" w:cs="仿宋_GB2312" w:asciiTheme="minorEastAsia" w:hAnsiTheme="minorEastAsia"/>
          <w:b w:val="0"/>
          <w:bCs w:val="0"/>
          <w:sz w:val="21"/>
          <w:szCs w:val="21"/>
        </w:rPr>
        <w:t>聯繫方式</w:t>
      </w:r>
      <w:bookmarkEnd w:id="11"/>
    </w:p>
    <w:p>
      <w:pPr>
        <w:spacing w:line="574" w:lineRule="exact"/>
        <w:ind w:firstLine="375" w:firstLineChars="179"/>
        <w:rPr>
          <w:rFonts w:cs="仿宋_GB2312" w:asciiTheme="minorEastAsia" w:hAnsiTheme="minorEastAsia" w:eastAsiaTheme="minorEastAsia"/>
        </w:rPr>
      </w:pPr>
      <w:r>
        <w:rPr>
          <w:rFonts w:hint="eastAsia" w:eastAsia="宋体" w:cs="仿宋_GB2312" w:asciiTheme="minorEastAsia" w:hAnsiTheme="minorEastAsia"/>
        </w:rPr>
        <w:t>招商人：深圳市廣深鐵路列車經貿實業有限公司</w:t>
      </w:r>
    </w:p>
    <w:p>
      <w:pPr>
        <w:spacing w:line="574" w:lineRule="exact"/>
        <w:ind w:firstLine="375" w:firstLineChars="179"/>
        <w:rPr>
          <w:rFonts w:cs="仿宋_GB2312" w:asciiTheme="minorEastAsia" w:hAnsiTheme="minorEastAsia" w:eastAsiaTheme="minorEastAsia"/>
        </w:rPr>
      </w:pPr>
      <w:r>
        <w:rPr>
          <w:rFonts w:hint="eastAsia" w:eastAsia="宋体" w:cs="仿宋_GB2312" w:asciiTheme="minorEastAsia" w:hAnsiTheme="minorEastAsia"/>
        </w:rPr>
        <w:t>聯繫人：陳工</w:t>
      </w:r>
    </w:p>
    <w:p>
      <w:pPr>
        <w:spacing w:line="574" w:lineRule="exact"/>
        <w:ind w:firstLine="375" w:firstLineChars="179"/>
        <w:rPr>
          <w:rFonts w:cs="仿宋_GB2312" w:asciiTheme="minorEastAsia" w:hAnsiTheme="minorEastAsia" w:eastAsiaTheme="minorEastAsia"/>
        </w:rPr>
      </w:pPr>
      <w:r>
        <w:rPr>
          <w:rFonts w:hint="eastAsia" w:eastAsia="宋体" w:cs="仿宋_GB2312" w:asciiTheme="minorEastAsia" w:hAnsiTheme="minorEastAsia"/>
        </w:rPr>
        <w:t>聯繫電話：020-61345288</w:t>
      </w:r>
    </w:p>
    <w:p>
      <w:pPr>
        <w:spacing w:line="574" w:lineRule="exact"/>
        <w:ind w:firstLine="375" w:firstLineChars="179"/>
        <w:rPr>
          <w:rFonts w:cs="仿宋_GB2312" w:asciiTheme="minorEastAsia" w:hAnsiTheme="minorEastAsia" w:eastAsiaTheme="minorEastAsia"/>
        </w:rPr>
      </w:pPr>
      <w:r>
        <w:rPr>
          <w:rFonts w:hint="eastAsia" w:eastAsia="宋体" w:cs="仿宋_GB2312" w:asciiTheme="minorEastAsia" w:hAnsiTheme="minorEastAsia"/>
        </w:rPr>
        <w:t>地址：廣州市天河區廣州火車東站四樓廣深鐵路列車經貿實業有限公司</w:t>
      </w:r>
    </w:p>
    <w:p>
      <w:pPr>
        <w:spacing w:line="574" w:lineRule="exact"/>
        <w:ind w:firstLine="375" w:firstLineChars="179"/>
        <w:rPr>
          <w:rFonts w:cs="仿宋_GB2312" w:asciiTheme="minorEastAsia" w:hAnsiTheme="minorEastAsia" w:eastAsiaTheme="minorEastAsia"/>
        </w:rPr>
      </w:pPr>
      <w:r>
        <w:rPr>
          <w:rFonts w:hint="eastAsia" w:eastAsia="宋体" w:cs="仿宋_GB2312" w:asciiTheme="minorEastAsia" w:hAnsiTheme="minorEastAsia"/>
        </w:rPr>
        <w:t>招商代理機構：中鐵物總國際招標有限公司</w:t>
      </w:r>
    </w:p>
    <w:p>
      <w:pPr>
        <w:spacing w:line="574" w:lineRule="exact"/>
        <w:ind w:firstLine="375" w:firstLineChars="179"/>
        <w:rPr>
          <w:rFonts w:cs="仿宋_GB2312" w:asciiTheme="minorEastAsia" w:hAnsiTheme="minorEastAsia" w:eastAsiaTheme="minorEastAsia"/>
        </w:rPr>
      </w:pPr>
      <w:r>
        <w:rPr>
          <w:rFonts w:hint="eastAsia" w:eastAsia="宋体" w:cs="仿宋_GB2312" w:asciiTheme="minorEastAsia" w:hAnsiTheme="minorEastAsia"/>
        </w:rPr>
        <w:t>購買檔及保證金聯繫人：郭工 18127447600</w:t>
      </w:r>
    </w:p>
    <w:p>
      <w:pPr>
        <w:spacing w:line="574" w:lineRule="exact"/>
        <w:ind w:firstLine="375" w:firstLineChars="179"/>
        <w:rPr>
          <w:rFonts w:cs="仿宋_GB2312" w:asciiTheme="minorEastAsia" w:hAnsiTheme="minorEastAsia" w:eastAsiaTheme="minorEastAsia"/>
        </w:rPr>
      </w:pPr>
      <w:r>
        <w:rPr>
          <w:rFonts w:hint="eastAsia" w:eastAsia="宋体" w:cs="仿宋_GB2312" w:asciiTheme="minorEastAsia" w:hAnsiTheme="minorEastAsia"/>
        </w:rPr>
        <w:t>業務聯繫人：靳工  13076865531</w:t>
      </w:r>
    </w:p>
    <w:p>
      <w:pPr>
        <w:spacing w:line="574" w:lineRule="exact"/>
        <w:ind w:firstLine="375" w:firstLineChars="179"/>
        <w:rPr>
          <w:rFonts w:cs="仿宋_GB2312" w:asciiTheme="minorEastAsia" w:hAnsiTheme="minorEastAsia" w:eastAsiaTheme="minorEastAsia"/>
        </w:rPr>
      </w:pPr>
      <w:r>
        <w:rPr>
          <w:rFonts w:hint="eastAsia" w:eastAsia="宋体" w:cs="仿宋_GB2312" w:asciiTheme="minorEastAsia" w:hAnsiTheme="minorEastAsia"/>
        </w:rPr>
        <w:t>地址：廣州市越秀區農林下路5號億達大廈十樓1003房</w:t>
      </w:r>
    </w:p>
    <w:p>
      <w:pPr>
        <w:spacing w:line="574" w:lineRule="exact"/>
        <w:ind w:firstLine="375" w:firstLineChars="179"/>
        <w:rPr>
          <w:rFonts w:cs="仿宋_GB2312" w:asciiTheme="minorEastAsia" w:hAnsiTheme="minorEastAsia" w:eastAsiaTheme="minorEastAsia"/>
        </w:rPr>
      </w:pPr>
    </w:p>
    <w:p>
      <w:pPr>
        <w:spacing w:line="574" w:lineRule="exact"/>
        <w:ind w:firstLine="375" w:firstLineChars="179"/>
        <w:rPr>
          <w:rFonts w:cs="仿宋_GB2312" w:asciiTheme="minorEastAsia" w:hAnsiTheme="minorEastAsia" w:eastAsiaTheme="minorEastAsia"/>
        </w:rPr>
      </w:pPr>
    </w:p>
    <w:p>
      <w:pPr>
        <w:wordWrap w:val="0"/>
        <w:spacing w:line="574" w:lineRule="exact"/>
        <w:jc w:val="right"/>
        <w:rPr>
          <w:rFonts w:cs="仿宋_GB2312" w:asciiTheme="minorEastAsia" w:hAnsiTheme="minorEastAsia" w:eastAsiaTheme="minorEastAsia"/>
          <w:snapToGrid w:val="0"/>
          <w:kern w:val="0"/>
        </w:rPr>
      </w:pPr>
      <w:r>
        <w:rPr>
          <w:rFonts w:hint="eastAsia" w:eastAsia="宋体" w:cs="仿宋_GB2312" w:asciiTheme="minorEastAsia" w:hAnsiTheme="minorEastAsia"/>
          <w:snapToGrid w:val="0"/>
          <w:kern w:val="0"/>
        </w:rPr>
        <w:t>深圳市廣深鐵路列車經貿實業有限公司</w:t>
      </w:r>
    </w:p>
    <w:p>
      <w:pPr>
        <w:spacing w:line="574" w:lineRule="exact"/>
        <w:jc w:val="center"/>
        <w:rPr>
          <w:rFonts w:cs="仿宋_GB2312" w:asciiTheme="minorEastAsia" w:hAnsiTheme="minorEastAsia" w:eastAsiaTheme="minorEastAsia"/>
          <w:snapToGrid w:val="0"/>
          <w:kern w:val="0"/>
        </w:rPr>
      </w:pPr>
      <w:r>
        <w:rPr>
          <w:rFonts w:hint="eastAsia" w:eastAsia="宋体" w:cs="仿宋_GB2312" w:asciiTheme="minorEastAsia" w:hAnsiTheme="minorEastAsia"/>
          <w:snapToGrid w:val="0"/>
          <w:kern w:val="0"/>
        </w:rPr>
        <w:t xml:space="preserve">                               </w:t>
      </w:r>
      <w:r>
        <w:rPr>
          <w:rFonts w:hint="eastAsia" w:eastAsia="宋体" w:cs="仿宋_GB2312" w:asciiTheme="minorEastAsia" w:hAnsiTheme="minorEastAsia"/>
          <w:snapToGrid w:val="0"/>
          <w:kern w:val="0"/>
          <w:lang w:val="en-US" w:eastAsia="zh-CN"/>
        </w:rPr>
        <w:t xml:space="preserve">   </w:t>
      </w:r>
      <w:r>
        <w:rPr>
          <w:rFonts w:hint="eastAsia" w:eastAsia="宋体" w:cs="仿宋_GB2312" w:asciiTheme="minorEastAsia" w:hAnsiTheme="minorEastAsia"/>
          <w:snapToGrid w:val="0"/>
          <w:kern w:val="0"/>
        </w:rPr>
        <w:t>專案負責人：林潔敘</w:t>
      </w:r>
    </w:p>
    <w:p>
      <w:pPr>
        <w:spacing w:line="574" w:lineRule="exact"/>
        <w:jc w:val="center"/>
        <w:rPr>
          <w:rFonts w:cs="仿宋_GB2312" w:asciiTheme="minorEastAsia" w:hAnsiTheme="minorEastAsia" w:eastAsiaTheme="minorEastAsia"/>
          <w:snapToGrid w:val="0"/>
          <w:kern w:val="0"/>
        </w:rPr>
      </w:pPr>
      <w:r>
        <w:rPr>
          <w:rFonts w:hint="eastAsia" w:eastAsia="宋体" w:cs="仿宋_GB2312" w:asciiTheme="minorEastAsia" w:hAnsiTheme="minorEastAsia"/>
          <w:snapToGrid w:val="0"/>
          <w:kern w:val="0"/>
          <w:lang w:val="en-US" w:eastAsia="zh-CN"/>
        </w:rPr>
        <w:t xml:space="preserve">                                   </w:t>
      </w:r>
      <w:r>
        <w:rPr>
          <w:rFonts w:hint="eastAsia" w:eastAsia="宋体" w:cs="仿宋_GB2312" w:asciiTheme="minorEastAsia" w:hAnsiTheme="minorEastAsia"/>
          <w:snapToGrid w:val="0"/>
          <w:kern w:val="0"/>
        </w:rPr>
        <w:t>2022年</w:t>
      </w:r>
      <w:r>
        <w:rPr>
          <w:rFonts w:eastAsia="宋体" w:cs="仿宋_GB2312" w:asciiTheme="minorEastAsia" w:hAnsiTheme="minorEastAsia"/>
          <w:snapToGrid w:val="0"/>
          <w:kern w:val="0"/>
        </w:rPr>
        <w:t>4</w:t>
      </w:r>
      <w:r>
        <w:rPr>
          <w:rFonts w:hint="eastAsia" w:eastAsia="宋体" w:cs="仿宋_GB2312" w:asciiTheme="minorEastAsia" w:hAnsiTheme="minorEastAsia"/>
          <w:snapToGrid w:val="0"/>
          <w:kern w:val="0"/>
        </w:rPr>
        <w:t>月</w:t>
      </w:r>
      <w:r>
        <w:rPr>
          <w:rFonts w:eastAsia="宋体" w:cs="仿宋_GB2312" w:asciiTheme="minorEastAsia" w:hAnsiTheme="minorEastAsia"/>
          <w:snapToGrid w:val="0"/>
          <w:kern w:val="0"/>
        </w:rPr>
        <w:t>28</w:t>
      </w:r>
      <w:r>
        <w:rPr>
          <w:rFonts w:hint="eastAsia" w:eastAsia="宋体" w:cs="仿宋_GB2312" w:asciiTheme="minorEastAsia" w:hAnsiTheme="minorEastAsia"/>
          <w:snapToGrid w:val="0"/>
          <w:kern w:val="0"/>
        </w:rPr>
        <w:t>日</w:t>
      </w:r>
    </w:p>
    <w:p>
      <w:pPr>
        <w:rPr>
          <w:rFonts w:asciiTheme="minorEastAsia" w:hAnsiTheme="minorEastAsia" w:eastAsiaTheme="minorEastAsia"/>
        </w:rPr>
      </w:pPr>
      <w:r>
        <w:rPr>
          <w:rFonts w:asciiTheme="minorEastAsia" w:hAnsiTheme="minorEastAsia" w:eastAsiaTheme="minorEastAsia"/>
        </w:rPr>
        <w:br w:type="page"/>
      </w:r>
    </w:p>
    <w:p>
      <w:pPr>
        <w:pStyle w:val="5"/>
        <w:spacing w:before="0" w:after="0" w:line="360" w:lineRule="auto"/>
        <w:ind w:firstLine="646" w:firstLineChars="202"/>
        <w:jc w:val="left"/>
        <w:outlineLvl w:val="1"/>
        <w:rPr>
          <w:rFonts w:ascii="宋体" w:hAnsi="宋体" w:cs="黑体"/>
          <w:b w:val="0"/>
          <w:bCs w:val="0"/>
        </w:rPr>
      </w:pPr>
      <w:bookmarkStart w:id="12" w:name="_Toc71292504"/>
      <w:r>
        <w:rPr>
          <w:rFonts w:hint="eastAsia" w:ascii="宋体" w:hAnsi="宋体" w:eastAsia="宋体" w:cs="黑体"/>
          <w:b w:val="0"/>
          <w:bCs w:val="0"/>
        </w:rPr>
        <w:t>公告附件一</w:t>
      </w:r>
      <w:bookmarkEnd w:id="12"/>
    </w:p>
    <w:p>
      <w:pPr>
        <w:pStyle w:val="2"/>
        <w:spacing w:before="120"/>
        <w:ind w:left="0" w:leftChars="0" w:firstLine="720"/>
        <w:jc w:val="center"/>
        <w:rPr>
          <w:rFonts w:ascii="宋体" w:hAnsi="宋体" w:cs="宋体"/>
          <w:sz w:val="32"/>
          <w:szCs w:val="32"/>
        </w:rPr>
      </w:pPr>
      <w:r>
        <w:rPr>
          <w:rFonts w:hint="eastAsia" w:ascii="宋体" w:hAnsi="宋体" w:eastAsia="宋体" w:cs="宋体"/>
          <w:sz w:val="32"/>
          <w:szCs w:val="32"/>
        </w:rPr>
        <w:t>招商檔購買登記表</w:t>
      </w:r>
    </w:p>
    <w:tbl>
      <w:tblPr>
        <w:tblStyle w:val="6"/>
        <w:tblW w:w="9128" w:type="dxa"/>
        <w:jc w:val="center"/>
        <w:tblLayout w:type="fixed"/>
        <w:tblCellMar>
          <w:top w:w="0" w:type="dxa"/>
          <w:left w:w="108" w:type="dxa"/>
          <w:bottom w:w="0" w:type="dxa"/>
          <w:right w:w="108" w:type="dxa"/>
        </w:tblCellMar>
      </w:tblPr>
      <w:tblGrid>
        <w:gridCol w:w="2132"/>
        <w:gridCol w:w="1559"/>
        <w:gridCol w:w="1823"/>
        <w:gridCol w:w="1587"/>
        <w:gridCol w:w="2027"/>
      </w:tblGrid>
      <w:tr>
        <w:tblPrEx>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競商單位名稱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304"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542"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單位地址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聯繫人及</w:t>
            </w:r>
          </w:p>
          <w:p>
            <w:pPr>
              <w:spacing w:before="120"/>
              <w:ind w:left="-77" w:leftChars="-37" w:hanging="1"/>
              <w:jc w:val="center"/>
              <w:rPr>
                <w:rFonts w:ascii="宋体" w:hAnsi="宋体" w:cs="宋体"/>
                <w:b/>
                <w:bCs/>
                <w:sz w:val="24"/>
              </w:rPr>
            </w:pPr>
            <w:r>
              <w:rPr>
                <w:rFonts w:hint="eastAsia" w:ascii="宋体" w:hAnsi="宋体" w:eastAsia="宋体" w:cs="宋体"/>
                <w:b/>
                <w:bCs/>
                <w:sz w:val="24"/>
              </w:rPr>
              <w:t>聯繫方式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移動電話</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固定電話</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傳真電話</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498"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sz w:val="24"/>
              </w:rPr>
            </w:pPr>
            <w:r>
              <w:rPr>
                <w:rFonts w:hint="eastAsia" w:ascii="宋体" w:hAnsi="宋体" w:eastAsia="宋体" w:cs="宋体"/>
                <w:b/>
                <w:bCs/>
                <w:sz w:val="24"/>
              </w:rPr>
              <w:t>專案名稱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擬競商包件</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rPr>
            </w:pPr>
            <w:r>
              <w:rPr>
                <w:rFonts w:hint="eastAsia" w:ascii="宋体" w:hAnsi="宋体" w:eastAsia="宋体" w:cs="宋体"/>
                <w:sz w:val="24"/>
              </w:rPr>
              <w:t>（分標包專案須填寫該欄）</w:t>
            </w: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聯繫人簽名並</w:t>
            </w:r>
          </w:p>
          <w:p>
            <w:pPr>
              <w:spacing w:before="120"/>
              <w:ind w:left="-77" w:leftChars="-37" w:hanging="1"/>
              <w:jc w:val="center"/>
              <w:rPr>
                <w:rFonts w:ascii="宋体" w:hAnsi="宋体" w:cs="宋体"/>
                <w:b/>
                <w:bCs/>
                <w:sz w:val="24"/>
              </w:rPr>
            </w:pPr>
            <w:r>
              <w:rPr>
                <w:rFonts w:hint="eastAsia" w:ascii="宋体" w:hAnsi="宋体" w:eastAsia="宋体" w:cs="宋体"/>
                <w:b/>
                <w:bCs/>
                <w:sz w:val="24"/>
              </w:rPr>
              <w:t>加蓋單位公章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b/>
                <w:bCs/>
                <w:sz w:val="48"/>
              </w:rPr>
            </w:pPr>
          </w:p>
          <w:p>
            <w:pPr>
              <w:spacing w:before="120" w:line="520" w:lineRule="exact"/>
              <w:ind w:left="-77" w:leftChars="-37" w:hanging="1"/>
              <w:rPr>
                <w:rFonts w:ascii="宋体" w:hAnsi="宋体" w:cs="宋体"/>
                <w:sz w:val="24"/>
              </w:rPr>
            </w:pPr>
            <w:r>
              <w:rPr>
                <w:rFonts w:hint="eastAsia" w:ascii="宋体" w:hAnsi="宋体" w:eastAsia="宋体" w:cs="宋体"/>
                <w:sz w:val="24"/>
              </w:rPr>
              <w:t>聯繫人：</w:t>
            </w:r>
          </w:p>
          <w:p>
            <w:pPr>
              <w:spacing w:before="120" w:line="520" w:lineRule="exact"/>
              <w:ind w:left="-77" w:leftChars="-37" w:hanging="1"/>
              <w:rPr>
                <w:rFonts w:ascii="宋体" w:hAnsi="宋体" w:cs="宋体"/>
                <w:sz w:val="24"/>
              </w:rPr>
            </w:pPr>
            <w:r>
              <w:rPr>
                <w:rFonts w:ascii="宋体" w:hAnsi="宋体" w:eastAsia="宋体" w:cs="宋体"/>
                <w:sz w:val="24"/>
              </w:rPr>
              <w:t xml:space="preserve">                            (</w:t>
            </w:r>
            <w:r>
              <w:rPr>
                <w:rFonts w:hint="eastAsia" w:ascii="宋体" w:hAnsi="宋体" w:eastAsia="宋体" w:cs="宋体"/>
                <w:sz w:val="24"/>
              </w:rPr>
              <w:t>簽名</w:t>
            </w:r>
            <w:r>
              <w:rPr>
                <w:rFonts w:ascii="宋体" w:hAnsi="宋体" w:eastAsia="宋体" w:cs="宋体"/>
                <w:sz w:val="24"/>
              </w:rPr>
              <w:t>)</w:t>
            </w:r>
          </w:p>
          <w:p>
            <w:pPr>
              <w:spacing w:before="120" w:line="520" w:lineRule="exact"/>
              <w:ind w:left="-77" w:leftChars="-37" w:hanging="1"/>
              <w:rPr>
                <w:rFonts w:ascii="宋体" w:hAnsi="宋体" w:cs="宋体"/>
                <w:sz w:val="24"/>
              </w:rPr>
            </w:pPr>
            <w:r>
              <w:rPr>
                <w:rFonts w:hint="eastAsia" w:ascii="宋体" w:hAnsi="宋体" w:eastAsia="宋体" w:cs="宋体"/>
                <w:sz w:val="24"/>
              </w:rPr>
              <w:t>年  月  日</w:t>
            </w:r>
          </w:p>
          <w:p>
            <w:pPr>
              <w:spacing w:before="120"/>
              <w:ind w:left="-77" w:leftChars="-37" w:hanging="1"/>
              <w:jc w:val="center"/>
              <w:rPr>
                <w:rFonts w:ascii="宋体" w:hAnsi="宋体" w:cs="宋体"/>
                <w:b/>
                <w:bCs/>
              </w:rPr>
            </w:pPr>
            <w:r>
              <w:rPr>
                <w:rFonts w:hint="eastAsia" w:ascii="宋体" w:hAnsi="宋体" w:eastAsia="宋体" w:cs="宋体"/>
                <w:sz w:val="24"/>
              </w:rPr>
              <w:t>（加蓋公章）</w:t>
            </w:r>
          </w:p>
        </w:tc>
      </w:tr>
      <w:tr>
        <w:tblPrEx>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備註</w:t>
            </w:r>
          </w:p>
          <w:p>
            <w:pPr>
              <w:spacing w:before="120"/>
              <w:ind w:left="-77" w:leftChars="-37" w:hanging="1"/>
              <w:jc w:val="center"/>
              <w:rPr>
                <w:rFonts w:ascii="宋体" w:hAnsi="宋体" w:cs="宋体"/>
                <w:b/>
                <w:bCs/>
                <w:sz w:val="24"/>
              </w:rPr>
            </w:pPr>
            <w:r>
              <w:rPr>
                <w:rFonts w:hint="eastAsia" w:ascii="宋体" w:hAnsi="宋体" w:eastAsia="宋体" w:cs="宋体"/>
                <w:sz w:val="24"/>
              </w:rPr>
              <w:t>（由招商人填寫）</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b/>
                <w:bCs/>
                <w:sz w:val="48"/>
              </w:rPr>
            </w:pPr>
          </w:p>
          <w:p>
            <w:pPr>
              <w:spacing w:before="120"/>
              <w:ind w:left="-77" w:leftChars="-37" w:hanging="1"/>
              <w:rPr>
                <w:rFonts w:ascii="宋体" w:hAnsi="宋体" w:cs="宋体"/>
                <w:b/>
                <w:bCs/>
                <w:sz w:val="48"/>
              </w:rPr>
            </w:pPr>
          </w:p>
        </w:tc>
      </w:tr>
    </w:tbl>
    <w:p>
      <w:pPr>
        <w:spacing w:line="570" w:lineRule="exact"/>
        <w:jc w:val="left"/>
        <w:rPr>
          <w:rFonts w:ascii="宋体" w:hAnsi="宋体" w:cs="Times New Roman"/>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space"/>
      <w:lvlText w:val="%1、"/>
      <w:lvlJc w:val="left"/>
      <w:pPr>
        <w:ind w:left="0" w:firstLine="424"/>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5MGNmYzRjNGMwMDliMjc0YTFhMzU4NTllNGY4NmIifQ=="/>
  </w:docVars>
  <w:rsids>
    <w:rsidRoot w:val="008750E2"/>
    <w:rsid w:val="00031824"/>
    <w:rsid w:val="00116967"/>
    <w:rsid w:val="002014F8"/>
    <w:rsid w:val="004C6676"/>
    <w:rsid w:val="005C3E51"/>
    <w:rsid w:val="00666CD7"/>
    <w:rsid w:val="00746A2C"/>
    <w:rsid w:val="008750E2"/>
    <w:rsid w:val="00CA6D01"/>
    <w:rsid w:val="00D73853"/>
    <w:rsid w:val="00E32AD7"/>
    <w:rsid w:val="00E417BD"/>
    <w:rsid w:val="34E65B95"/>
    <w:rsid w:val="42F02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spacing w:after="120"/>
      <w:ind w:left="420" w:leftChars="200"/>
    </w:pPr>
    <w:rPr>
      <w:rFonts w:cs="Times New Roman"/>
      <w:kern w:val="0"/>
      <w:sz w:val="20"/>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ascii="Cambria" w:hAnsi="Cambria" w:cs="Times New Roman"/>
      <w:b/>
      <w:bCs/>
      <w:sz w:val="32"/>
      <w:szCs w:val="32"/>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正文文本缩进 字符"/>
    <w:basedOn w:val="7"/>
    <w:link w:val="2"/>
    <w:qFormat/>
    <w:uiPriority w:val="0"/>
    <w:rPr>
      <w:rFonts w:ascii="Times New Roman" w:hAnsi="Times New Roman" w:eastAsia="宋体" w:cs="Times New Roman"/>
      <w:kern w:val="0"/>
      <w:sz w:val="20"/>
      <w:szCs w:val="24"/>
    </w:rPr>
  </w:style>
  <w:style w:type="character" w:customStyle="1" w:styleId="11">
    <w:name w:val="标题 字符"/>
    <w:basedOn w:val="7"/>
    <w:link w:val="5"/>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2662</Words>
  <Characters>2981</Characters>
  <Lines>22</Lines>
  <Paragraphs>6</Paragraphs>
  <TotalTime>13</TotalTime>
  <ScaleCrop>false</ScaleCrop>
  <LinksUpToDate>false</LinksUpToDate>
  <CharactersWithSpaces>3090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2022-04-24T08:18:00Z</dcterms:created>
  <dc:creator>靳添添</dc:creator>
  <cp:lastModifiedBy>lenovo</cp:lastModifiedBy>
  <dcterms:modified xsi:type="dcterms:W3CDTF">2022-04-28T08:34:11Z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688733FA123D4A0C8DE4ABC930149FA6</vt:lpwstr>
  </property>
</Properties>
</file>