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eastAsia="方正小标宋简体"/>
          <w:color w:val="FF0000"/>
          <w:sz w:val="72"/>
          <w:szCs w:val="72"/>
        </w:rPr>
      </w:pPr>
      <w:r>
        <w:rPr>
          <w:rFonts w:eastAsia="宋体"/>
          <w:color w:val="FF0000"/>
          <w:sz w:val="72"/>
          <w:szCs w:val="72"/>
        </w:rPr>
        <w:t>廣深鐵路股份有限公司</w:t>
      </w:r>
    </w:p>
    <w:p>
      <w:pPr>
        <w:tabs>
          <w:tab w:val="left" w:pos="318"/>
          <w:tab w:val="center" w:pos="4876"/>
        </w:tabs>
        <w:spacing w:line="640" w:lineRule="exact"/>
        <w:jc w:val="center"/>
        <w:rPr>
          <w:b/>
          <w:sz w:val="36"/>
          <w:szCs w:val="36"/>
        </w:rPr>
      </w:pPr>
      <w:bookmarkStart w:id="0" w:name="_GoBack"/>
      <w:r>
        <w:rPr>
          <w:color w:val="FF0000"/>
          <w:sz w:val="80"/>
          <w:szCs w:val="64"/>
        </w:rPr>
        <mc:AlternateContent>
          <mc:Choice Requires="wps">
            <w:drawing>
              <wp:anchor distT="0" distB="0" distL="114300" distR="114300" simplePos="0" relativeHeight="251659264" behindDoc="0" locked="0" layoutInCell="1" allowOverlap="1">
                <wp:simplePos x="0" y="0"/>
                <wp:positionH relativeFrom="page">
                  <wp:posOffset>1144905</wp:posOffset>
                </wp:positionH>
                <wp:positionV relativeFrom="page">
                  <wp:posOffset>1531620</wp:posOffset>
                </wp:positionV>
                <wp:extent cx="5546090" cy="0"/>
                <wp:effectExtent l="0" t="25400" r="16510" b="31750"/>
                <wp:wrapNone/>
                <wp:docPr id="1" name="直接连接符 1"/>
                <wp:cNvGraphicFramePr/>
                <a:graphic xmlns:a="http://schemas.openxmlformats.org/drawingml/2006/main">
                  <a:graphicData uri="http://schemas.microsoft.com/office/word/2010/wordprocessingShape">
                    <wps:wsp>
                      <wps:cNvCnPr/>
                      <wps:spPr>
                        <a:xfrm>
                          <a:off x="0" y="0"/>
                          <a:ext cx="5546090" cy="0"/>
                        </a:xfrm>
                        <a:prstGeom prst="line">
                          <a:avLst/>
                        </a:prstGeom>
                        <a:ln w="5080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0.15pt;margin-top:120.6pt;height:0pt;width:436.7pt;mso-position-horizontal-relative:page;mso-position-vertical-relative:page;z-index:251659264;mso-width-relative:page;mso-height-relative:page;" filled="f" stroked="t" coordsize="21600,21600" o:gfxdata="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yaz42wAAAAwBAAAPAAAAAAAAAAEAIAAAACIAAABkcnMvZG93bnJldi54&#10;bWxQSwECFAAUAAAACACHTuJAasqjtfcBAADtAwAADgAAAAAAAAABACAAAAAqAQAAZHJzL2Uyb0Rv&#10;Yy54bWxQSwUGAAAAAAYABgBZAQAAkwUAAAAA&#10;">
                <v:fill on="f" focussize="0,0"/>
                <v:stroke weight="4pt" color="#FF0000" linestyle="thickThin" joinstyle="round"/>
                <v:imagedata o:title=""/>
                <o:lock v:ext="edit" aspectratio="f"/>
              </v:line>
            </w:pict>
          </mc:Fallback>
        </mc:AlternateContent>
      </w:r>
      <w:r>
        <w:rPr>
          <w:rFonts w:hAnsi="宋体" w:eastAsia="宋体"/>
          <w:b/>
          <w:sz w:val="28"/>
          <w:szCs w:val="28"/>
        </w:rPr>
        <w:t>廣</w:t>
      </w:r>
      <w:r>
        <w:rPr>
          <w:rFonts w:eastAsia="宋体"/>
          <w:b/>
          <w:sz w:val="28"/>
          <w:szCs w:val="28"/>
        </w:rPr>
        <w:t>深鐵路股份有限公司</w:t>
      </w:r>
      <w:r>
        <w:rPr>
          <w:rFonts w:hint="eastAsia" w:eastAsia="宋体"/>
          <w:b/>
          <w:sz w:val="28"/>
          <w:szCs w:val="28"/>
        </w:rPr>
        <w:t>2022年度普法視頻採購專案競價採購</w:t>
      </w:r>
      <w:r>
        <w:rPr>
          <w:rFonts w:eastAsia="宋体"/>
          <w:b/>
          <w:sz w:val="28"/>
          <w:szCs w:val="28"/>
        </w:rPr>
        <w:t>公告</w:t>
      </w:r>
      <w:bookmarkEnd w:id="0"/>
    </w:p>
    <w:p>
      <w:pPr>
        <w:spacing w:line="360" w:lineRule="auto"/>
        <w:ind w:firstLine="480" w:firstLineChars="200"/>
        <w:rPr>
          <w:sz w:val="24"/>
        </w:rPr>
      </w:pPr>
    </w:p>
    <w:p>
      <w:pPr>
        <w:spacing w:line="360" w:lineRule="auto"/>
        <w:ind w:firstLine="480" w:firstLineChars="200"/>
        <w:rPr>
          <w:sz w:val="24"/>
        </w:rPr>
      </w:pPr>
      <w:r>
        <w:rPr>
          <w:rFonts w:hint="eastAsia" w:eastAsia="宋体"/>
          <w:sz w:val="24"/>
        </w:rPr>
        <w:t>廣深鐵路股份有限公司（以下簡稱“本公司”）根據工作需要，擬對下述</w:t>
      </w:r>
      <w:r>
        <w:rPr>
          <w:rFonts w:eastAsia="宋体"/>
          <w:sz w:val="24"/>
        </w:rPr>
        <w:t>專案</w:t>
      </w:r>
      <w:r>
        <w:rPr>
          <w:rFonts w:hint="eastAsia" w:eastAsia="宋体"/>
          <w:sz w:val="24"/>
        </w:rPr>
        <w:t>以競價方式進行採購，現邀請符合條件的供應商參加此次競價。</w:t>
      </w:r>
    </w:p>
    <w:p>
      <w:pPr>
        <w:spacing w:line="360" w:lineRule="auto"/>
        <w:ind w:firstLine="480" w:firstLineChars="200"/>
        <w:rPr>
          <w:sz w:val="24"/>
        </w:rPr>
      </w:pPr>
      <w:r>
        <w:rPr>
          <w:rFonts w:hint="eastAsia" w:eastAsia="宋体"/>
          <w:sz w:val="24"/>
        </w:rPr>
        <w:t>一、</w:t>
      </w:r>
      <w:r>
        <w:rPr>
          <w:rFonts w:hint="eastAsia" w:eastAsia="宋体"/>
          <w:b/>
          <w:sz w:val="24"/>
        </w:rPr>
        <w:t>專案名稱</w:t>
      </w:r>
      <w:r>
        <w:rPr>
          <w:rFonts w:eastAsia="宋体"/>
          <w:b/>
          <w:sz w:val="24"/>
        </w:rPr>
        <w:t>：</w:t>
      </w:r>
      <w:r>
        <w:rPr>
          <w:rFonts w:hint="eastAsia" w:eastAsia="宋体"/>
          <w:sz w:val="24"/>
        </w:rPr>
        <w:t>2022年度普法視頻採購</w:t>
      </w:r>
      <w:r>
        <w:rPr>
          <w:rFonts w:eastAsia="宋体"/>
          <w:sz w:val="24"/>
        </w:rPr>
        <w:t>。</w:t>
      </w:r>
    </w:p>
    <w:p>
      <w:pPr>
        <w:spacing w:line="360" w:lineRule="auto"/>
        <w:ind w:firstLine="482" w:firstLineChars="200"/>
        <w:rPr>
          <w:sz w:val="24"/>
        </w:rPr>
      </w:pPr>
      <w:r>
        <w:rPr>
          <w:rFonts w:hint="eastAsia" w:eastAsia="宋体"/>
          <w:b/>
          <w:sz w:val="24"/>
        </w:rPr>
        <w:t>二、採購需求</w:t>
      </w:r>
      <w:r>
        <w:rPr>
          <w:rFonts w:eastAsia="宋体"/>
          <w:b/>
          <w:sz w:val="24"/>
        </w:rPr>
        <w:t>：</w:t>
      </w:r>
    </w:p>
    <w:p>
      <w:pPr>
        <w:spacing w:line="360" w:lineRule="auto"/>
        <w:ind w:firstLine="480" w:firstLineChars="200"/>
        <w:rPr>
          <w:sz w:val="24"/>
        </w:rPr>
      </w:pPr>
      <w:r>
        <w:rPr>
          <w:rFonts w:eastAsia="宋体"/>
          <w:sz w:val="24"/>
        </w:rPr>
        <w:t>1</w:t>
      </w:r>
      <w:r>
        <w:rPr>
          <w:rFonts w:hint="eastAsia" w:eastAsia="宋体"/>
          <w:sz w:val="24"/>
        </w:rPr>
        <w:t>.專案內容：普法</w:t>
      </w:r>
      <w:r>
        <w:rPr>
          <w:rFonts w:eastAsia="宋体"/>
          <w:sz w:val="24"/>
        </w:rPr>
        <w:t>視頻</w:t>
      </w:r>
      <w:r>
        <w:rPr>
          <w:rFonts w:hint="eastAsia" w:eastAsia="宋体"/>
          <w:sz w:val="24"/>
        </w:rPr>
        <w:t>總</w:t>
      </w:r>
      <w:r>
        <w:rPr>
          <w:rFonts w:eastAsia="宋体"/>
          <w:sz w:val="24"/>
        </w:rPr>
        <w:t>時長</w:t>
      </w:r>
      <w:r>
        <w:rPr>
          <w:rFonts w:hint="eastAsia" w:eastAsia="宋体"/>
          <w:sz w:val="24"/>
        </w:rPr>
        <w:t>不少於</w:t>
      </w:r>
      <w:r>
        <w:rPr>
          <w:rFonts w:eastAsia="宋体"/>
          <w:sz w:val="24"/>
        </w:rPr>
        <w:t>50</w:t>
      </w:r>
      <w:r>
        <w:rPr>
          <w:rFonts w:hint="eastAsia" w:eastAsia="宋体"/>
          <w:sz w:val="24"/>
        </w:rPr>
        <w:t>小時</w:t>
      </w:r>
      <w:r>
        <w:rPr>
          <w:rFonts w:eastAsia="宋体"/>
          <w:sz w:val="24"/>
        </w:rPr>
        <w:t>，</w:t>
      </w:r>
      <w:r>
        <w:rPr>
          <w:rFonts w:hint="eastAsia" w:eastAsia="宋体"/>
          <w:sz w:val="24"/>
        </w:rPr>
        <w:t>視頻格式為</w:t>
      </w:r>
      <w:r>
        <w:rPr>
          <w:rFonts w:eastAsia="宋体"/>
          <w:sz w:val="24"/>
        </w:rPr>
        <w:t>MP4</w:t>
      </w:r>
      <w:r>
        <w:rPr>
          <w:rFonts w:hint="eastAsia" w:eastAsia="宋体"/>
          <w:sz w:val="24"/>
        </w:rPr>
        <w:t>，供本公司職工通學《中華人民共和國民法典》及勞動法相關法律知識，其中《中華人民共和國民法典》之合同編、侵權責任編、物權編、《中華人民共和國勞動法》、《中華人民共和國勞動合同法》、《</w:t>
      </w:r>
      <w:r>
        <w:rPr>
          <w:rFonts w:eastAsia="宋体"/>
          <w:sz w:val="24"/>
        </w:rPr>
        <w:t>勞務派遣暫行規定</w:t>
      </w:r>
      <w:r>
        <w:rPr>
          <w:rFonts w:hint="eastAsia" w:eastAsia="宋体"/>
          <w:sz w:val="24"/>
        </w:rPr>
        <w:t>》為學習重點，視頻中不得出現與本項目無關的其他資訊。</w:t>
      </w:r>
      <w:r>
        <w:rPr>
          <w:rFonts w:hint="eastAsia" w:eastAsia="宋体"/>
          <w:sz w:val="24"/>
          <w:lang w:eastAsia="zh-Hans"/>
        </w:rPr>
        <w:t>本公司支付採購費用後，</w:t>
      </w:r>
      <w:r>
        <w:rPr>
          <w:rFonts w:hint="eastAsia" w:eastAsia="宋体"/>
          <w:sz w:val="24"/>
        </w:rPr>
        <w:t>本公司</w:t>
      </w:r>
      <w:r>
        <w:rPr>
          <w:rFonts w:hint="eastAsia" w:eastAsia="宋体"/>
          <w:sz w:val="24"/>
          <w:lang w:eastAsia="zh-Hans"/>
        </w:rPr>
        <w:t>擁有視頻完整的所有權，</w:t>
      </w:r>
      <w:r>
        <w:rPr>
          <w:rFonts w:eastAsia="宋体"/>
          <w:sz w:val="24"/>
        </w:rPr>
        <w:t>有權</w:t>
      </w:r>
      <w:r>
        <w:rPr>
          <w:rFonts w:hint="eastAsia" w:eastAsia="宋体"/>
          <w:sz w:val="24"/>
        </w:rPr>
        <w:t>無限期</w:t>
      </w:r>
      <w:r>
        <w:rPr>
          <w:rFonts w:eastAsia="宋体"/>
          <w:sz w:val="24"/>
        </w:rPr>
        <w:t>使用</w:t>
      </w:r>
      <w:r>
        <w:rPr>
          <w:rFonts w:hint="eastAsia" w:eastAsia="宋体"/>
          <w:sz w:val="24"/>
        </w:rPr>
        <w:t>普法視頻。</w:t>
      </w:r>
      <w:r>
        <w:rPr>
          <w:rFonts w:hint="eastAsia" w:eastAsia="宋体"/>
          <w:sz w:val="24"/>
          <w:lang w:eastAsia="zh-Hans"/>
        </w:rPr>
        <w:t>供應商不得將出售給本公司的視頻進行重複出售、授權第三方使用或用於其他用途（進行宣傳除外）。</w:t>
      </w:r>
    </w:p>
    <w:p>
      <w:pPr>
        <w:spacing w:line="360" w:lineRule="auto"/>
        <w:ind w:firstLine="480" w:firstLineChars="200"/>
        <w:rPr>
          <w:sz w:val="24"/>
        </w:rPr>
      </w:pPr>
      <w:r>
        <w:rPr>
          <w:rFonts w:eastAsia="宋体"/>
          <w:sz w:val="24"/>
        </w:rPr>
        <w:t>2.</w:t>
      </w:r>
      <w:r>
        <w:rPr>
          <w:rFonts w:hint="eastAsia" w:eastAsia="宋体"/>
          <w:sz w:val="24"/>
        </w:rPr>
        <w:t>授課教師資格：具有與本項目內容相關的授課經驗。</w:t>
      </w:r>
    </w:p>
    <w:p>
      <w:pPr>
        <w:spacing w:line="360" w:lineRule="auto"/>
        <w:ind w:firstLine="480" w:firstLineChars="200"/>
        <w:rPr>
          <w:sz w:val="24"/>
          <w:szCs w:val="22"/>
        </w:rPr>
      </w:pPr>
      <w:r>
        <w:rPr>
          <w:rFonts w:eastAsia="宋体"/>
          <w:sz w:val="24"/>
        </w:rPr>
        <w:t>3.</w:t>
      </w:r>
      <w:r>
        <w:rPr>
          <w:rFonts w:hint="eastAsia" w:eastAsia="宋体"/>
          <w:sz w:val="24"/>
        </w:rPr>
        <w:t>最高限價：人民幣10萬元</w:t>
      </w:r>
      <w:r>
        <w:rPr>
          <w:rFonts w:hint="eastAsia" w:eastAsia="宋体"/>
          <w:sz w:val="24"/>
          <w:szCs w:val="22"/>
        </w:rPr>
        <w:t>。</w:t>
      </w:r>
    </w:p>
    <w:p>
      <w:pPr>
        <w:spacing w:line="360" w:lineRule="auto"/>
        <w:ind w:firstLine="482" w:firstLineChars="200"/>
        <w:rPr>
          <w:sz w:val="24"/>
        </w:rPr>
      </w:pPr>
      <w:r>
        <w:rPr>
          <w:rFonts w:hint="eastAsia" w:eastAsia="宋体"/>
          <w:b/>
          <w:sz w:val="24"/>
        </w:rPr>
        <w:t>三、</w:t>
      </w:r>
      <w:r>
        <w:rPr>
          <w:rFonts w:eastAsia="宋体"/>
          <w:b/>
          <w:sz w:val="24"/>
        </w:rPr>
        <w:t>供應商資格要求：</w:t>
      </w:r>
    </w:p>
    <w:p>
      <w:pPr>
        <w:spacing w:line="360" w:lineRule="auto"/>
        <w:ind w:firstLine="480" w:firstLineChars="200"/>
        <w:rPr>
          <w:sz w:val="24"/>
        </w:rPr>
      </w:pPr>
      <w:r>
        <w:rPr>
          <w:rFonts w:hint="eastAsia" w:eastAsia="宋体"/>
          <w:sz w:val="24"/>
        </w:rPr>
        <w:t>1</w:t>
      </w:r>
      <w:r>
        <w:rPr>
          <w:rFonts w:eastAsia="宋体"/>
          <w:sz w:val="24"/>
        </w:rPr>
        <w:t>.</w:t>
      </w:r>
      <w:r>
        <w:rPr>
          <w:rFonts w:hint="eastAsia" w:eastAsia="宋体"/>
          <w:sz w:val="24"/>
        </w:rPr>
        <w:t>能提供相應</w:t>
      </w:r>
      <w:r>
        <w:rPr>
          <w:rFonts w:hint="eastAsia" w:eastAsia="宋体"/>
          <w:sz w:val="24"/>
          <w:lang w:eastAsia="zh-Hans"/>
        </w:rPr>
        <w:t>的培訓</w:t>
      </w:r>
      <w:r>
        <w:rPr>
          <w:rFonts w:hint="eastAsia" w:eastAsia="宋体"/>
          <w:sz w:val="24"/>
        </w:rPr>
        <w:t>發票。</w:t>
      </w:r>
    </w:p>
    <w:p>
      <w:pPr>
        <w:spacing w:line="360" w:lineRule="auto"/>
        <w:ind w:firstLine="480" w:firstLineChars="200"/>
        <w:rPr>
          <w:sz w:val="24"/>
        </w:rPr>
      </w:pPr>
      <w:r>
        <w:rPr>
          <w:rFonts w:hint="eastAsia" w:eastAsia="宋体"/>
          <w:sz w:val="24"/>
        </w:rPr>
        <w:t>2</w:t>
      </w:r>
      <w:r>
        <w:rPr>
          <w:rFonts w:eastAsia="宋体"/>
          <w:sz w:val="24"/>
        </w:rPr>
        <w:t>.</w:t>
      </w:r>
      <w:r>
        <w:rPr>
          <w:rFonts w:hint="eastAsia" w:eastAsia="宋体"/>
          <w:sz w:val="24"/>
        </w:rPr>
        <w:t>未被列入“信用中國”網站(www.creditchina.gov.cn)失信被執行人名單、重大稅收違法案件當事人名單和中國政府採購網(www.ccgp.gov.cn)政府採購嚴重違法失信行為記錄名單。</w:t>
      </w:r>
    </w:p>
    <w:p>
      <w:pPr>
        <w:spacing w:line="360" w:lineRule="auto"/>
        <w:ind w:firstLine="480" w:firstLineChars="200"/>
        <w:rPr>
          <w:sz w:val="24"/>
        </w:rPr>
      </w:pPr>
      <w:r>
        <w:rPr>
          <w:rFonts w:hint="eastAsia" w:eastAsia="宋体"/>
          <w:sz w:val="24"/>
        </w:rPr>
        <w:t>3</w:t>
      </w:r>
      <w:r>
        <w:rPr>
          <w:rFonts w:eastAsia="宋体"/>
          <w:sz w:val="24"/>
        </w:rPr>
        <w:t>.保證</w:t>
      </w:r>
      <w:r>
        <w:rPr>
          <w:rFonts w:hint="eastAsia" w:eastAsia="宋体"/>
          <w:sz w:val="24"/>
        </w:rPr>
        <w:t>所提供普法視頻均可正常播放、下載和使用，且不存在侵犯任何第三方知識產權的情況</w:t>
      </w:r>
      <w:r>
        <w:rPr>
          <w:rFonts w:eastAsia="宋体"/>
          <w:sz w:val="24"/>
        </w:rPr>
        <w:t>，</w:t>
      </w:r>
      <w:r>
        <w:rPr>
          <w:rFonts w:hint="eastAsia" w:eastAsia="宋体"/>
          <w:sz w:val="24"/>
        </w:rPr>
        <w:t>本公司</w:t>
      </w:r>
      <w:r>
        <w:rPr>
          <w:rFonts w:eastAsia="宋体"/>
          <w:sz w:val="24"/>
        </w:rPr>
        <w:t>如因使用</w:t>
      </w:r>
      <w:r>
        <w:rPr>
          <w:rFonts w:hint="eastAsia" w:eastAsia="宋体"/>
          <w:sz w:val="24"/>
        </w:rPr>
        <w:t>視頻</w:t>
      </w:r>
      <w:r>
        <w:rPr>
          <w:rFonts w:eastAsia="宋体"/>
          <w:sz w:val="24"/>
        </w:rPr>
        <w:t>而與任何第三方發生或存在的爭議或潛在爭議，均由</w:t>
      </w:r>
      <w:r>
        <w:rPr>
          <w:rFonts w:hint="eastAsia" w:eastAsia="宋体"/>
          <w:sz w:val="24"/>
        </w:rPr>
        <w:t>供應商</w:t>
      </w:r>
      <w:r>
        <w:rPr>
          <w:rFonts w:eastAsia="宋体"/>
          <w:sz w:val="24"/>
        </w:rPr>
        <w:t>負責解決</w:t>
      </w:r>
      <w:r>
        <w:rPr>
          <w:rFonts w:hint="eastAsia" w:eastAsia="宋体"/>
          <w:sz w:val="24"/>
        </w:rPr>
        <w:t>。</w:t>
      </w:r>
    </w:p>
    <w:p>
      <w:pPr>
        <w:spacing w:line="360" w:lineRule="auto"/>
        <w:ind w:firstLine="480" w:firstLineChars="200"/>
        <w:rPr>
          <w:sz w:val="24"/>
        </w:rPr>
      </w:pPr>
      <w:r>
        <w:rPr>
          <w:rFonts w:eastAsia="宋体"/>
          <w:sz w:val="24"/>
        </w:rPr>
        <w:t>4.</w:t>
      </w:r>
      <w:r>
        <w:rPr>
          <w:rFonts w:hint="eastAsia" w:eastAsia="宋体"/>
          <w:sz w:val="24"/>
        </w:rPr>
        <w:t>本項目不接受聯合體參與競價。</w:t>
      </w:r>
    </w:p>
    <w:p>
      <w:pPr>
        <w:spacing w:line="360" w:lineRule="auto"/>
        <w:ind w:firstLine="482" w:firstLineChars="200"/>
        <w:rPr>
          <w:b/>
          <w:sz w:val="24"/>
          <w:szCs w:val="22"/>
        </w:rPr>
      </w:pPr>
      <w:r>
        <w:rPr>
          <w:rFonts w:hint="eastAsia" w:eastAsia="宋体"/>
          <w:b/>
          <w:sz w:val="24"/>
          <w:szCs w:val="22"/>
        </w:rPr>
        <w:t>四、報名時間和方式：</w:t>
      </w:r>
    </w:p>
    <w:p>
      <w:pPr>
        <w:spacing w:line="360" w:lineRule="auto"/>
        <w:ind w:firstLine="480" w:firstLineChars="200"/>
        <w:rPr>
          <w:sz w:val="24"/>
        </w:rPr>
      </w:pPr>
      <w:r>
        <w:rPr>
          <w:rFonts w:hint="eastAsia" w:eastAsia="宋体"/>
          <w:sz w:val="24"/>
        </w:rPr>
        <w:t>1</w:t>
      </w:r>
      <w:r>
        <w:rPr>
          <w:rFonts w:eastAsia="宋体"/>
          <w:sz w:val="24"/>
        </w:rPr>
        <w:t>.</w:t>
      </w:r>
      <w:r>
        <w:rPr>
          <w:rFonts w:hint="eastAsia" w:eastAsia="宋体"/>
          <w:sz w:val="24"/>
        </w:rPr>
        <w:t>報名時間：202</w:t>
      </w:r>
      <w:r>
        <w:rPr>
          <w:rFonts w:eastAsia="宋体"/>
          <w:sz w:val="24"/>
        </w:rPr>
        <w:t>2</w:t>
      </w:r>
      <w:r>
        <w:rPr>
          <w:rFonts w:hint="eastAsia" w:eastAsia="宋体"/>
          <w:sz w:val="24"/>
        </w:rPr>
        <w:t>年</w:t>
      </w:r>
      <w:r>
        <w:rPr>
          <w:rFonts w:eastAsia="宋体"/>
          <w:sz w:val="24"/>
        </w:rPr>
        <w:t>12</w:t>
      </w:r>
      <w:r>
        <w:rPr>
          <w:rFonts w:hint="eastAsia" w:eastAsia="宋体"/>
          <w:sz w:val="24"/>
        </w:rPr>
        <w:t>月</w:t>
      </w:r>
      <w:r>
        <w:rPr>
          <w:rFonts w:eastAsia="宋体"/>
          <w:sz w:val="24"/>
        </w:rPr>
        <w:t>12</w:t>
      </w:r>
      <w:r>
        <w:rPr>
          <w:rFonts w:hint="eastAsia" w:eastAsia="宋体"/>
          <w:sz w:val="24"/>
        </w:rPr>
        <w:t>日至 202</w:t>
      </w:r>
      <w:r>
        <w:rPr>
          <w:rFonts w:eastAsia="宋体"/>
          <w:sz w:val="24"/>
        </w:rPr>
        <w:t>2</w:t>
      </w:r>
      <w:r>
        <w:rPr>
          <w:rFonts w:hint="eastAsia" w:eastAsia="宋体"/>
          <w:sz w:val="24"/>
        </w:rPr>
        <w:t>年</w:t>
      </w:r>
      <w:r>
        <w:rPr>
          <w:rFonts w:eastAsia="宋体"/>
          <w:sz w:val="24"/>
        </w:rPr>
        <w:t>12</w:t>
      </w:r>
      <w:r>
        <w:rPr>
          <w:rFonts w:hint="eastAsia" w:eastAsia="宋体"/>
          <w:sz w:val="24"/>
        </w:rPr>
        <w:t>月</w:t>
      </w:r>
      <w:r>
        <w:rPr>
          <w:rFonts w:hint="eastAsia" w:eastAsia="宋体"/>
          <w:sz w:val="24"/>
          <w:lang w:val="en-US" w:eastAsia="zh-CN"/>
        </w:rPr>
        <w:t>1</w:t>
      </w:r>
      <w:r>
        <w:rPr>
          <w:rFonts w:eastAsia="宋体"/>
          <w:sz w:val="24"/>
        </w:rPr>
        <w:t>6</w:t>
      </w:r>
      <w:r>
        <w:rPr>
          <w:rFonts w:hint="eastAsia" w:eastAsia="宋体"/>
          <w:sz w:val="24"/>
        </w:rPr>
        <w:t>日。</w:t>
      </w:r>
    </w:p>
    <w:p>
      <w:pPr>
        <w:spacing w:line="360" w:lineRule="auto"/>
        <w:ind w:firstLine="480" w:firstLineChars="200"/>
        <w:rPr>
          <w:sz w:val="24"/>
        </w:rPr>
      </w:pPr>
      <w:r>
        <w:rPr>
          <w:rFonts w:hint="eastAsia" w:eastAsia="宋体"/>
          <w:sz w:val="24"/>
        </w:rPr>
        <w:t>2</w:t>
      </w:r>
      <w:r>
        <w:rPr>
          <w:rFonts w:eastAsia="宋体"/>
          <w:sz w:val="24"/>
        </w:rPr>
        <w:t>.</w:t>
      </w:r>
      <w:r>
        <w:rPr>
          <w:rFonts w:hint="eastAsia" w:eastAsia="宋体"/>
          <w:sz w:val="24"/>
        </w:rPr>
        <w:t>報名方式：網上報名。供應商報名應填寫《2022年度普法視頻採購專案報名表》，並提供下列資料（加蓋公章，且為彩色掃描件）：</w:t>
      </w:r>
    </w:p>
    <w:p>
      <w:pPr>
        <w:spacing w:line="360" w:lineRule="auto"/>
        <w:ind w:firstLine="480" w:firstLineChars="200"/>
        <w:rPr>
          <w:sz w:val="24"/>
        </w:rPr>
      </w:pPr>
      <w:r>
        <w:rPr>
          <w:rFonts w:hint="eastAsia" w:eastAsia="宋体"/>
          <w:sz w:val="24"/>
        </w:rPr>
        <w:t>（1）合法資質；</w:t>
      </w:r>
    </w:p>
    <w:p>
      <w:pPr>
        <w:spacing w:line="360" w:lineRule="auto"/>
        <w:ind w:firstLine="480" w:firstLineChars="200"/>
        <w:rPr>
          <w:sz w:val="24"/>
        </w:rPr>
      </w:pPr>
      <w:r>
        <w:rPr>
          <w:rFonts w:hint="eastAsia" w:eastAsia="宋体"/>
          <w:sz w:val="24"/>
        </w:rPr>
        <w:t>（2）法定代表人（負責人）身份證明文件及身份證正反面影本；</w:t>
      </w:r>
    </w:p>
    <w:p>
      <w:pPr>
        <w:spacing w:line="360" w:lineRule="auto"/>
        <w:ind w:firstLine="480" w:firstLineChars="200"/>
        <w:rPr>
          <w:sz w:val="24"/>
        </w:rPr>
      </w:pPr>
      <w:r>
        <w:rPr>
          <w:rFonts w:hint="eastAsia" w:eastAsia="宋体"/>
          <w:sz w:val="24"/>
        </w:rPr>
        <w:t>（3）授權委託書及被授權人身份證原件；</w:t>
      </w:r>
    </w:p>
    <w:p>
      <w:pPr>
        <w:spacing w:line="360" w:lineRule="auto"/>
        <w:ind w:firstLine="480" w:firstLineChars="200"/>
        <w:rPr>
          <w:sz w:val="24"/>
        </w:rPr>
      </w:pPr>
      <w:r>
        <w:rPr>
          <w:rFonts w:hint="eastAsia" w:eastAsia="宋体"/>
          <w:sz w:val="24"/>
        </w:rPr>
        <w:t>（4）不侵犯任何第三方知識產權的承諾函。</w:t>
      </w:r>
    </w:p>
    <w:p>
      <w:pPr>
        <w:spacing w:line="360" w:lineRule="auto"/>
        <w:ind w:firstLine="480" w:firstLineChars="200"/>
        <w:rPr>
          <w:sz w:val="24"/>
        </w:rPr>
      </w:pPr>
      <w:r>
        <w:rPr>
          <w:rFonts w:hint="eastAsia" w:eastAsia="宋体"/>
          <w:sz w:val="24"/>
        </w:rPr>
        <w:t>凡願參加本次競價採購的供應商應在上述規定的時間內將報名材料統一打包發送至採購人指定電子郵箱，逾期不再辦理。</w:t>
      </w:r>
    </w:p>
    <w:p>
      <w:pPr>
        <w:spacing w:line="360" w:lineRule="auto"/>
        <w:ind w:firstLine="482" w:firstLineChars="200"/>
        <w:rPr>
          <w:b/>
          <w:sz w:val="24"/>
        </w:rPr>
      </w:pPr>
      <w:r>
        <w:rPr>
          <w:rFonts w:hint="eastAsia" w:eastAsia="宋体"/>
          <w:b/>
          <w:sz w:val="24"/>
        </w:rPr>
        <w:t>五、競價流程</w:t>
      </w:r>
    </w:p>
    <w:p>
      <w:pPr>
        <w:spacing w:line="360" w:lineRule="auto"/>
        <w:ind w:firstLine="480" w:firstLineChars="200"/>
        <w:rPr>
          <w:sz w:val="24"/>
        </w:rPr>
      </w:pPr>
      <w:r>
        <w:rPr>
          <w:rFonts w:hint="eastAsia" w:eastAsia="宋体"/>
          <w:sz w:val="24"/>
        </w:rPr>
        <w:t>1</w:t>
      </w:r>
      <w:r>
        <w:rPr>
          <w:rFonts w:eastAsia="宋体"/>
          <w:sz w:val="24"/>
        </w:rPr>
        <w:t>.</w:t>
      </w:r>
      <w:r>
        <w:rPr>
          <w:rFonts w:hint="eastAsia" w:eastAsia="宋体"/>
          <w:sz w:val="24"/>
        </w:rPr>
        <w:t>報名結束後，採購人於</w:t>
      </w:r>
      <w:r>
        <w:rPr>
          <w:rFonts w:eastAsia="宋体"/>
          <w:sz w:val="24"/>
        </w:rPr>
        <w:t>2</w:t>
      </w:r>
      <w:r>
        <w:rPr>
          <w:rFonts w:hint="eastAsia" w:eastAsia="宋体"/>
          <w:sz w:val="24"/>
        </w:rPr>
        <w:t>個工作日內審核供應商的資格，並以郵件形式通知合格供應商進行報價（以各供應商報名表所填郵箱為准，如有更換請及時聯繫採購人）。</w:t>
      </w:r>
    </w:p>
    <w:p>
      <w:pPr>
        <w:spacing w:line="360" w:lineRule="auto"/>
        <w:ind w:firstLine="480" w:firstLineChars="200"/>
        <w:rPr>
          <w:sz w:val="24"/>
        </w:rPr>
      </w:pPr>
      <w:r>
        <w:rPr>
          <w:rFonts w:hint="eastAsia" w:eastAsia="宋体"/>
          <w:sz w:val="24"/>
        </w:rPr>
        <w:t>2</w:t>
      </w:r>
      <w:r>
        <w:rPr>
          <w:rFonts w:eastAsia="宋体"/>
          <w:sz w:val="24"/>
        </w:rPr>
        <w:t>.</w:t>
      </w:r>
      <w:r>
        <w:rPr>
          <w:rFonts w:hint="eastAsia" w:eastAsia="宋体"/>
          <w:sz w:val="24"/>
        </w:rPr>
        <w:t>合格供應商在收到採購人通知後，應當確認每節課程時長、課程單價和專案總價，於</w:t>
      </w:r>
      <w:r>
        <w:rPr>
          <w:rFonts w:eastAsia="宋体"/>
          <w:sz w:val="24"/>
        </w:rPr>
        <w:t>5</w:t>
      </w:r>
      <w:r>
        <w:rPr>
          <w:rFonts w:hint="eastAsia" w:eastAsia="宋体"/>
          <w:sz w:val="24"/>
        </w:rPr>
        <w:t>個工作日內將報價表（專案負責人</w:t>
      </w:r>
      <w:r>
        <w:rPr>
          <w:rFonts w:eastAsia="宋体"/>
          <w:sz w:val="24"/>
        </w:rPr>
        <w:t>簽名並</w:t>
      </w:r>
      <w:r>
        <w:rPr>
          <w:rFonts w:hint="eastAsia" w:eastAsia="宋体"/>
          <w:sz w:val="24"/>
        </w:rPr>
        <w:t>加蓋</w:t>
      </w:r>
      <w:r>
        <w:rPr>
          <w:rFonts w:eastAsia="宋体"/>
          <w:sz w:val="24"/>
        </w:rPr>
        <w:t>公章</w:t>
      </w:r>
      <w:r>
        <w:rPr>
          <w:rFonts w:hint="eastAsia" w:eastAsia="宋体"/>
          <w:sz w:val="24"/>
        </w:rPr>
        <w:t>，</w:t>
      </w:r>
      <w:r>
        <w:rPr>
          <w:rFonts w:eastAsia="宋体"/>
          <w:sz w:val="24"/>
        </w:rPr>
        <w:t>彩色掃描</w:t>
      </w:r>
      <w:r>
        <w:rPr>
          <w:rFonts w:hint="eastAsia" w:eastAsia="宋体"/>
          <w:sz w:val="24"/>
        </w:rPr>
        <w:t>件）發送至採購人指定電子郵箱</w:t>
      </w:r>
      <w:r>
        <w:rPr>
          <w:rFonts w:eastAsia="宋体"/>
          <w:sz w:val="24"/>
        </w:rPr>
        <w:t>。</w:t>
      </w:r>
    </w:p>
    <w:p>
      <w:pPr>
        <w:spacing w:line="360" w:lineRule="auto"/>
        <w:ind w:firstLine="480" w:firstLineChars="200"/>
        <w:rPr>
          <w:sz w:val="24"/>
        </w:rPr>
      </w:pPr>
      <w:r>
        <w:rPr>
          <w:rFonts w:eastAsia="宋体"/>
          <w:sz w:val="24"/>
        </w:rPr>
        <w:t>3.</w:t>
      </w:r>
      <w:r>
        <w:rPr>
          <w:rFonts w:hint="eastAsia" w:eastAsia="宋体"/>
          <w:sz w:val="24"/>
        </w:rPr>
        <w:t>採購人確認最低報價者（以單價最低為准，計算方式為專案總價除以課程總時長）後，於</w:t>
      </w:r>
      <w:r>
        <w:rPr>
          <w:rFonts w:eastAsia="宋体"/>
          <w:sz w:val="24"/>
        </w:rPr>
        <w:t>3</w:t>
      </w:r>
      <w:r>
        <w:rPr>
          <w:rFonts w:hint="eastAsia" w:eastAsia="宋体"/>
          <w:sz w:val="24"/>
        </w:rPr>
        <w:t>個工作日內發佈結果公告，並與其簽訂採購合同。</w:t>
      </w:r>
    </w:p>
    <w:p>
      <w:pPr>
        <w:spacing w:line="360" w:lineRule="auto"/>
        <w:ind w:firstLine="482" w:firstLineChars="200"/>
        <w:rPr>
          <w:b/>
          <w:sz w:val="24"/>
        </w:rPr>
      </w:pPr>
      <w:r>
        <w:rPr>
          <w:rFonts w:hint="eastAsia" w:eastAsia="宋体"/>
          <w:b/>
          <w:sz w:val="24"/>
        </w:rPr>
        <w:t>六、採購人聯繫方式：</w:t>
      </w:r>
    </w:p>
    <w:p>
      <w:pPr>
        <w:spacing w:line="360" w:lineRule="auto"/>
        <w:ind w:firstLine="480" w:firstLineChars="200"/>
        <w:rPr>
          <w:b/>
          <w:sz w:val="24"/>
        </w:rPr>
      </w:pPr>
      <w:r>
        <w:rPr>
          <w:rFonts w:eastAsia="宋体"/>
          <w:sz w:val="24"/>
        </w:rPr>
        <w:t>地址：深圳市羅湖區和平路1052號</w:t>
      </w:r>
    </w:p>
    <w:p>
      <w:pPr>
        <w:spacing w:line="360" w:lineRule="auto"/>
        <w:ind w:firstLine="480" w:firstLineChars="200"/>
        <w:rPr>
          <w:b/>
          <w:sz w:val="24"/>
        </w:rPr>
      </w:pPr>
      <w:r>
        <w:rPr>
          <w:rFonts w:eastAsia="宋体"/>
          <w:sz w:val="24"/>
        </w:rPr>
        <w:t>聯繫人：</w:t>
      </w:r>
      <w:r>
        <w:rPr>
          <w:rFonts w:hint="eastAsia" w:eastAsia="宋体"/>
          <w:sz w:val="24"/>
        </w:rPr>
        <w:t>劉先生</w:t>
      </w:r>
    </w:p>
    <w:p>
      <w:pPr>
        <w:spacing w:line="360" w:lineRule="auto"/>
        <w:ind w:firstLine="480" w:firstLineChars="200"/>
        <w:rPr>
          <w:rFonts w:hint="default" w:eastAsia="宋体"/>
          <w:b/>
          <w:sz w:val="24"/>
          <w:lang w:val="en-US" w:eastAsia="zh-CN"/>
        </w:rPr>
      </w:pPr>
      <w:r>
        <w:rPr>
          <w:rFonts w:eastAsia="宋体"/>
          <w:sz w:val="24"/>
        </w:rPr>
        <w:t>電話：</w:t>
      </w:r>
      <w:r>
        <w:rPr>
          <w:rFonts w:hint="eastAsia" w:eastAsia="宋体"/>
          <w:sz w:val="24"/>
        </w:rPr>
        <w:t>0755</w:t>
      </w:r>
      <w:r>
        <w:rPr>
          <w:rFonts w:eastAsia="宋体"/>
          <w:sz w:val="24"/>
        </w:rPr>
        <w:t>-61382</w:t>
      </w:r>
      <w:r>
        <w:rPr>
          <w:rFonts w:hint="eastAsia" w:eastAsia="宋体"/>
          <w:sz w:val="24"/>
          <w:lang w:val="en-US" w:eastAsia="zh-CN"/>
        </w:rPr>
        <w:t>623</w:t>
      </w:r>
    </w:p>
    <w:p>
      <w:pPr>
        <w:spacing w:line="360" w:lineRule="auto"/>
        <w:ind w:firstLine="480" w:firstLineChars="200"/>
        <w:rPr>
          <w:sz w:val="24"/>
        </w:rPr>
      </w:pPr>
      <w:r>
        <w:rPr>
          <w:rFonts w:eastAsia="宋体"/>
          <w:sz w:val="24"/>
        </w:rPr>
        <w:t>電子郵件：</w:t>
      </w:r>
      <w:r>
        <w:rPr>
          <w:rFonts w:hint="eastAsia" w:eastAsia="宋体"/>
          <w:sz w:val="24"/>
          <w:lang w:val="en-US" w:eastAsia="zh-CN"/>
        </w:rPr>
        <w:t>gs</w:t>
      </w:r>
      <w:r>
        <w:rPr>
          <w:rFonts w:hint="eastAsia" w:eastAsia="宋体"/>
          <w:sz w:val="24"/>
        </w:rPr>
        <w:t>fls</w:t>
      </w:r>
      <w:r>
        <w:rPr>
          <w:rFonts w:eastAsia="宋体"/>
          <w:sz w:val="24"/>
        </w:rPr>
        <w:t>@gs</w:t>
      </w:r>
      <w:r>
        <w:rPr>
          <w:rFonts w:hint="eastAsia" w:eastAsia="宋体"/>
          <w:sz w:val="24"/>
          <w:lang w:val="en-US" w:eastAsia="zh-CN"/>
        </w:rPr>
        <w:t>tlgs</w:t>
      </w:r>
      <w:r>
        <w:rPr>
          <w:rFonts w:eastAsia="宋体"/>
          <w:sz w:val="24"/>
        </w:rPr>
        <w:t>.com</w:t>
      </w:r>
    </w:p>
    <w:p>
      <w:pPr>
        <w:spacing w:line="360" w:lineRule="auto"/>
        <w:ind w:firstLine="480" w:firstLineChars="200"/>
        <w:rPr>
          <w:sz w:val="24"/>
        </w:rPr>
      </w:pPr>
    </w:p>
    <w:p>
      <w:pPr>
        <w:spacing w:line="360" w:lineRule="auto"/>
        <w:ind w:firstLine="480" w:firstLineChars="200"/>
        <w:rPr>
          <w:b/>
          <w:sz w:val="24"/>
        </w:rPr>
      </w:pPr>
      <w:r>
        <w:rPr>
          <w:rFonts w:hint="eastAsia" w:eastAsia="宋体"/>
          <w:sz w:val="24"/>
        </w:rPr>
        <w:t>附件：2022年度普法視頻採購專案報名表</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pStyle w:val="6"/>
      </w:pPr>
      <w:r>
        <w:rPr>
          <w:rFonts w:hint="eastAsia" w:eastAsia="宋体"/>
        </w:rPr>
        <w:t>2022年度普法視頻採購專案報名表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038"/>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Align w:val="center"/>
          </w:tcPr>
          <w:p>
            <w:pPr>
              <w:spacing w:line="360" w:lineRule="auto"/>
              <w:jc w:val="center"/>
              <w:rPr>
                <w:sz w:val="24"/>
              </w:rPr>
            </w:pPr>
            <w:r>
              <w:rPr>
                <w:rFonts w:hint="eastAsia" w:eastAsia="宋体"/>
                <w:sz w:val="24"/>
              </w:rPr>
              <w:t>專案名稱</w:t>
            </w:r>
          </w:p>
        </w:tc>
        <w:tc>
          <w:tcPr>
            <w:tcW w:w="6455" w:type="dxa"/>
            <w:gridSpan w:val="2"/>
          </w:tcPr>
          <w:p>
            <w:pPr>
              <w:spacing w:line="360" w:lineRule="auto"/>
              <w:jc w:val="center"/>
              <w:rPr>
                <w:sz w:val="24"/>
              </w:rPr>
            </w:pPr>
            <w:r>
              <w:rPr>
                <w:rFonts w:hint="eastAsia" w:eastAsia="宋体"/>
                <w:sz w:val="24"/>
              </w:rPr>
              <w:t>廣深鐵路股份有限公司2022年度普法視頻採購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7" w:type="dxa"/>
            <w:vAlign w:val="center"/>
          </w:tcPr>
          <w:p>
            <w:pPr>
              <w:spacing w:line="360" w:lineRule="auto"/>
              <w:jc w:val="center"/>
              <w:rPr>
                <w:sz w:val="24"/>
              </w:rPr>
            </w:pPr>
            <w:r>
              <w:rPr>
                <w:rFonts w:hint="eastAsia" w:eastAsia="宋体"/>
                <w:sz w:val="24"/>
              </w:rPr>
              <w:t>供應商名稱</w:t>
            </w:r>
          </w:p>
        </w:tc>
        <w:tc>
          <w:tcPr>
            <w:tcW w:w="6455" w:type="dxa"/>
            <w:gridSpan w:val="2"/>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Align w:val="center"/>
          </w:tcPr>
          <w:p>
            <w:pPr>
              <w:spacing w:line="360" w:lineRule="auto"/>
              <w:jc w:val="center"/>
              <w:rPr>
                <w:sz w:val="24"/>
              </w:rPr>
            </w:pPr>
            <w:r>
              <w:rPr>
                <w:rFonts w:hint="eastAsia" w:eastAsia="宋体"/>
                <w:sz w:val="24"/>
              </w:rPr>
              <w:t>供應商地址</w:t>
            </w:r>
          </w:p>
        </w:tc>
        <w:tc>
          <w:tcPr>
            <w:tcW w:w="6455" w:type="dxa"/>
            <w:gridSpan w:val="2"/>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7" w:type="dxa"/>
            <w:vMerge w:val="restart"/>
            <w:vAlign w:val="center"/>
          </w:tcPr>
          <w:p>
            <w:pPr>
              <w:spacing w:line="360" w:lineRule="auto"/>
              <w:jc w:val="center"/>
              <w:rPr>
                <w:sz w:val="24"/>
              </w:rPr>
            </w:pPr>
            <w:r>
              <w:rPr>
                <w:rFonts w:hint="eastAsia" w:eastAsia="宋体"/>
                <w:sz w:val="24"/>
              </w:rPr>
              <w:t>聯繫人及</w:t>
            </w:r>
          </w:p>
          <w:p>
            <w:pPr>
              <w:spacing w:line="360" w:lineRule="auto"/>
              <w:jc w:val="center"/>
              <w:rPr>
                <w:sz w:val="24"/>
              </w:rPr>
            </w:pPr>
            <w:r>
              <w:rPr>
                <w:rFonts w:hint="eastAsia" w:eastAsia="宋体"/>
                <w:sz w:val="24"/>
              </w:rPr>
              <w:t>聯繫方式</w:t>
            </w:r>
          </w:p>
        </w:tc>
        <w:tc>
          <w:tcPr>
            <w:tcW w:w="2038" w:type="dxa"/>
          </w:tcPr>
          <w:p>
            <w:pPr>
              <w:spacing w:line="360" w:lineRule="auto"/>
              <w:jc w:val="center"/>
              <w:rPr>
                <w:sz w:val="24"/>
              </w:rPr>
            </w:pPr>
            <w:r>
              <w:rPr>
                <w:rFonts w:hint="eastAsia" w:eastAsia="宋体"/>
                <w:sz w:val="24"/>
              </w:rPr>
              <w:t xml:space="preserve">姓 </w:t>
            </w:r>
            <w:r>
              <w:rPr>
                <w:rFonts w:eastAsia="宋体"/>
                <w:sz w:val="24"/>
              </w:rPr>
              <w:t xml:space="preserve">   </w:t>
            </w:r>
            <w:r>
              <w:rPr>
                <w:rFonts w:hint="eastAsia" w:eastAsia="宋体"/>
                <w:sz w:val="24"/>
              </w:rPr>
              <w:t>名</w:t>
            </w:r>
          </w:p>
        </w:tc>
        <w:tc>
          <w:tcPr>
            <w:tcW w:w="4417"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continue"/>
            <w:vAlign w:val="center"/>
          </w:tcPr>
          <w:p>
            <w:pPr>
              <w:spacing w:line="360" w:lineRule="auto"/>
              <w:jc w:val="center"/>
              <w:rPr>
                <w:sz w:val="24"/>
              </w:rPr>
            </w:pPr>
          </w:p>
        </w:tc>
        <w:tc>
          <w:tcPr>
            <w:tcW w:w="2038" w:type="dxa"/>
          </w:tcPr>
          <w:p>
            <w:pPr>
              <w:spacing w:line="360" w:lineRule="auto"/>
              <w:jc w:val="center"/>
              <w:rPr>
                <w:sz w:val="24"/>
              </w:rPr>
            </w:pPr>
            <w:r>
              <w:rPr>
                <w:rFonts w:hint="eastAsia" w:eastAsia="宋体"/>
                <w:sz w:val="24"/>
              </w:rPr>
              <w:t>固定電話</w:t>
            </w:r>
          </w:p>
        </w:tc>
        <w:tc>
          <w:tcPr>
            <w:tcW w:w="4417"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67" w:type="dxa"/>
            <w:vMerge w:val="continue"/>
            <w:vAlign w:val="center"/>
          </w:tcPr>
          <w:p>
            <w:pPr>
              <w:spacing w:line="360" w:lineRule="auto"/>
              <w:jc w:val="center"/>
              <w:rPr>
                <w:sz w:val="24"/>
              </w:rPr>
            </w:pPr>
          </w:p>
        </w:tc>
        <w:tc>
          <w:tcPr>
            <w:tcW w:w="2038" w:type="dxa"/>
          </w:tcPr>
          <w:p>
            <w:pPr>
              <w:spacing w:line="360" w:lineRule="auto"/>
              <w:jc w:val="center"/>
              <w:rPr>
                <w:sz w:val="24"/>
              </w:rPr>
            </w:pPr>
            <w:r>
              <w:rPr>
                <w:rFonts w:hint="eastAsia" w:eastAsia="宋体"/>
                <w:sz w:val="24"/>
              </w:rPr>
              <w:t xml:space="preserve">手 </w:t>
            </w:r>
            <w:r>
              <w:rPr>
                <w:rFonts w:eastAsia="宋体"/>
                <w:sz w:val="24"/>
              </w:rPr>
              <w:t xml:space="preserve">   </w:t>
            </w:r>
            <w:r>
              <w:rPr>
                <w:rFonts w:hint="eastAsia" w:eastAsia="宋体"/>
                <w:sz w:val="24"/>
              </w:rPr>
              <w:t>機</w:t>
            </w:r>
          </w:p>
        </w:tc>
        <w:tc>
          <w:tcPr>
            <w:tcW w:w="4417"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continue"/>
            <w:vAlign w:val="center"/>
          </w:tcPr>
          <w:p>
            <w:pPr>
              <w:spacing w:line="360" w:lineRule="auto"/>
              <w:jc w:val="center"/>
              <w:rPr>
                <w:sz w:val="24"/>
              </w:rPr>
            </w:pPr>
          </w:p>
        </w:tc>
        <w:tc>
          <w:tcPr>
            <w:tcW w:w="2038" w:type="dxa"/>
          </w:tcPr>
          <w:p>
            <w:pPr>
              <w:spacing w:line="360" w:lineRule="auto"/>
              <w:jc w:val="center"/>
              <w:rPr>
                <w:sz w:val="24"/>
              </w:rPr>
            </w:pPr>
            <w:r>
              <w:rPr>
                <w:rFonts w:hint="eastAsia" w:eastAsia="宋体"/>
                <w:sz w:val="24"/>
              </w:rPr>
              <w:t>電子郵箱</w:t>
            </w:r>
          </w:p>
        </w:tc>
        <w:tc>
          <w:tcPr>
            <w:tcW w:w="4417"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atLeast"/>
        </w:trPr>
        <w:tc>
          <w:tcPr>
            <w:tcW w:w="2067" w:type="dxa"/>
            <w:vAlign w:val="center"/>
          </w:tcPr>
          <w:p>
            <w:pPr>
              <w:spacing w:line="360" w:lineRule="auto"/>
              <w:jc w:val="center"/>
              <w:rPr>
                <w:sz w:val="24"/>
              </w:rPr>
            </w:pPr>
            <w:r>
              <w:rPr>
                <w:rFonts w:hint="eastAsia" w:eastAsia="宋体"/>
                <w:sz w:val="24"/>
              </w:rPr>
              <w:t>聯繫人簽名</w:t>
            </w:r>
          </w:p>
          <w:p>
            <w:pPr>
              <w:spacing w:line="360" w:lineRule="auto"/>
              <w:jc w:val="center"/>
              <w:rPr>
                <w:sz w:val="24"/>
              </w:rPr>
            </w:pPr>
          </w:p>
        </w:tc>
        <w:tc>
          <w:tcPr>
            <w:tcW w:w="6455" w:type="dxa"/>
            <w:gridSpan w:val="2"/>
          </w:tcPr>
          <w:p>
            <w:pPr>
              <w:spacing w:line="360" w:lineRule="auto"/>
              <w:jc w:val="center"/>
              <w:rPr>
                <w:sz w:val="24"/>
              </w:rPr>
            </w:pPr>
          </w:p>
          <w:p>
            <w:pPr>
              <w:spacing w:line="360" w:lineRule="auto"/>
              <w:ind w:right="1200"/>
              <w:jc w:val="right"/>
              <w:rPr>
                <w:sz w:val="24"/>
              </w:rPr>
            </w:pPr>
          </w:p>
          <w:p>
            <w:pPr>
              <w:spacing w:line="360" w:lineRule="auto"/>
              <w:ind w:right="4320"/>
              <w:jc w:val="center"/>
              <w:rPr>
                <w:sz w:val="24"/>
              </w:rPr>
            </w:pPr>
            <w:r>
              <w:rPr>
                <w:rFonts w:hint="eastAsia" w:eastAsia="宋体"/>
                <w:sz w:val="24"/>
              </w:rPr>
              <w:t xml:space="preserve"> </w:t>
            </w:r>
            <w:r>
              <w:rPr>
                <w:rFonts w:eastAsia="宋体"/>
                <w:sz w:val="24"/>
              </w:rPr>
              <w:t xml:space="preserve">  </w:t>
            </w:r>
            <w:r>
              <w:rPr>
                <w:rFonts w:hint="eastAsia" w:eastAsia="宋体"/>
                <w:sz w:val="24"/>
              </w:rPr>
              <w:t xml:space="preserve">簽 </w:t>
            </w:r>
            <w:r>
              <w:rPr>
                <w:rFonts w:eastAsia="宋体"/>
                <w:sz w:val="24"/>
              </w:rPr>
              <w:t xml:space="preserve">     </w:t>
            </w:r>
            <w:r>
              <w:rPr>
                <w:rFonts w:hint="eastAsia" w:eastAsia="宋体"/>
                <w:sz w:val="24"/>
              </w:rPr>
              <w:t>名：</w:t>
            </w:r>
          </w:p>
          <w:p>
            <w:pPr>
              <w:spacing w:line="360" w:lineRule="auto"/>
              <w:ind w:right="3840" w:firstLine="240" w:firstLineChars="100"/>
              <w:jc w:val="left"/>
              <w:rPr>
                <w:sz w:val="24"/>
              </w:rPr>
            </w:pPr>
            <w:r>
              <w:rPr>
                <w:rFonts w:hint="eastAsia" w:eastAsia="宋体"/>
                <w:sz w:val="24"/>
              </w:rPr>
              <w:t>（加蓋公章）</w:t>
            </w:r>
          </w:p>
          <w:p>
            <w:pPr>
              <w:spacing w:line="360" w:lineRule="auto"/>
              <w:ind w:right="3840" w:firstLine="720" w:firstLineChars="300"/>
              <w:rPr>
                <w:sz w:val="24"/>
              </w:rPr>
            </w:pPr>
          </w:p>
          <w:p>
            <w:pPr>
              <w:spacing w:line="360" w:lineRule="auto"/>
              <w:ind w:right="3840" w:firstLine="480" w:firstLineChars="200"/>
              <w:rPr>
                <w:sz w:val="24"/>
              </w:rPr>
            </w:pPr>
            <w:r>
              <w:rPr>
                <w:rFonts w:hint="eastAsia" w:eastAsia="宋体"/>
                <w:sz w:val="24"/>
              </w:rPr>
              <w:t>日</w:t>
            </w:r>
            <w:r>
              <w:rPr>
                <w:rFonts w:eastAsia="宋体"/>
                <w:sz w:val="24"/>
              </w:rPr>
              <w:t xml:space="preserve">      </w:t>
            </w:r>
            <w:r>
              <w:rPr>
                <w:rFonts w:hint="eastAsia" w:eastAsia="宋体"/>
                <w:sz w:val="24"/>
              </w:rPr>
              <w:t>期：</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8058497"/>
    </w:sdtPr>
    <w:sdtContent>
      <w:p>
        <w:pPr>
          <w:pStyle w:val="4"/>
          <w:jc w:val="center"/>
        </w:pPr>
        <w:r>
          <w:fldChar w:fldCharType="begin"/>
        </w:r>
        <w:r>
          <w:instrText xml:space="preserve">PAGE   \* MERGEFORMAT</w:instrText>
        </w:r>
        <w:r>
          <w:fldChar w:fldCharType="separate"/>
        </w:r>
        <w:r>
          <w:rPr>
            <w:rFonts w:eastAsia="宋体"/>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5MGNmYzRjNGMwMDliMjc0YTFhMzU4NTllNGY4NmIifQ=="/>
  </w:docVars>
  <w:rsids>
    <w:rsidRoot w:val="657639C0"/>
    <w:rsid w:val="0003648E"/>
    <w:rsid w:val="00057D40"/>
    <w:rsid w:val="00063392"/>
    <w:rsid w:val="000659A3"/>
    <w:rsid w:val="00074D4E"/>
    <w:rsid w:val="00077A71"/>
    <w:rsid w:val="00085E55"/>
    <w:rsid w:val="00095E09"/>
    <w:rsid w:val="000962F9"/>
    <w:rsid w:val="000B1EA4"/>
    <w:rsid w:val="00121011"/>
    <w:rsid w:val="00135486"/>
    <w:rsid w:val="00141506"/>
    <w:rsid w:val="00144607"/>
    <w:rsid w:val="00157A2A"/>
    <w:rsid w:val="00175FBC"/>
    <w:rsid w:val="001768AD"/>
    <w:rsid w:val="001B2D59"/>
    <w:rsid w:val="001D2A07"/>
    <w:rsid w:val="001F281B"/>
    <w:rsid w:val="001F534E"/>
    <w:rsid w:val="00205D30"/>
    <w:rsid w:val="00214CF6"/>
    <w:rsid w:val="002202D0"/>
    <w:rsid w:val="00243846"/>
    <w:rsid w:val="00273D3E"/>
    <w:rsid w:val="002C09F1"/>
    <w:rsid w:val="002D24C6"/>
    <w:rsid w:val="002E1751"/>
    <w:rsid w:val="002E3097"/>
    <w:rsid w:val="0030254A"/>
    <w:rsid w:val="003245E6"/>
    <w:rsid w:val="00336DBE"/>
    <w:rsid w:val="003658E4"/>
    <w:rsid w:val="00390F92"/>
    <w:rsid w:val="003A190B"/>
    <w:rsid w:val="003C1514"/>
    <w:rsid w:val="0040202B"/>
    <w:rsid w:val="0044039A"/>
    <w:rsid w:val="004A6D3F"/>
    <w:rsid w:val="00537326"/>
    <w:rsid w:val="00552D6A"/>
    <w:rsid w:val="0055414B"/>
    <w:rsid w:val="00564661"/>
    <w:rsid w:val="005775B8"/>
    <w:rsid w:val="005C5046"/>
    <w:rsid w:val="005C6B1C"/>
    <w:rsid w:val="005E5362"/>
    <w:rsid w:val="005E66AA"/>
    <w:rsid w:val="006011B4"/>
    <w:rsid w:val="006079CA"/>
    <w:rsid w:val="00631580"/>
    <w:rsid w:val="006354B5"/>
    <w:rsid w:val="00650B00"/>
    <w:rsid w:val="00670F54"/>
    <w:rsid w:val="00674C0F"/>
    <w:rsid w:val="006A113B"/>
    <w:rsid w:val="006C702E"/>
    <w:rsid w:val="006D5D0A"/>
    <w:rsid w:val="006D7768"/>
    <w:rsid w:val="006E55FE"/>
    <w:rsid w:val="007122C0"/>
    <w:rsid w:val="0073081F"/>
    <w:rsid w:val="007613F6"/>
    <w:rsid w:val="007825C7"/>
    <w:rsid w:val="00783929"/>
    <w:rsid w:val="007A37EC"/>
    <w:rsid w:val="007A75C4"/>
    <w:rsid w:val="007B50CD"/>
    <w:rsid w:val="007E7931"/>
    <w:rsid w:val="008039E2"/>
    <w:rsid w:val="00817012"/>
    <w:rsid w:val="0084479E"/>
    <w:rsid w:val="00855076"/>
    <w:rsid w:val="00872E4D"/>
    <w:rsid w:val="008E0412"/>
    <w:rsid w:val="00955F92"/>
    <w:rsid w:val="009804EC"/>
    <w:rsid w:val="009808E2"/>
    <w:rsid w:val="00991133"/>
    <w:rsid w:val="00994B42"/>
    <w:rsid w:val="009E248F"/>
    <w:rsid w:val="009F0EC9"/>
    <w:rsid w:val="00A36066"/>
    <w:rsid w:val="00A42489"/>
    <w:rsid w:val="00A46115"/>
    <w:rsid w:val="00AA3B2E"/>
    <w:rsid w:val="00AA41DC"/>
    <w:rsid w:val="00AB3CC7"/>
    <w:rsid w:val="00AC637F"/>
    <w:rsid w:val="00B0710C"/>
    <w:rsid w:val="00B51888"/>
    <w:rsid w:val="00B543A0"/>
    <w:rsid w:val="00BA2A67"/>
    <w:rsid w:val="00BC7399"/>
    <w:rsid w:val="00BC7BE2"/>
    <w:rsid w:val="00C428B0"/>
    <w:rsid w:val="00C731AA"/>
    <w:rsid w:val="00C73A00"/>
    <w:rsid w:val="00C73B2B"/>
    <w:rsid w:val="00C878DF"/>
    <w:rsid w:val="00CA6C66"/>
    <w:rsid w:val="00CC0E3A"/>
    <w:rsid w:val="00CD3C2F"/>
    <w:rsid w:val="00CF77D0"/>
    <w:rsid w:val="00D06E02"/>
    <w:rsid w:val="00D147BF"/>
    <w:rsid w:val="00D67529"/>
    <w:rsid w:val="00D67728"/>
    <w:rsid w:val="00D961A4"/>
    <w:rsid w:val="00D964F1"/>
    <w:rsid w:val="00DB2DFF"/>
    <w:rsid w:val="00DF2A82"/>
    <w:rsid w:val="00E2006F"/>
    <w:rsid w:val="00E648FF"/>
    <w:rsid w:val="00EA2DA7"/>
    <w:rsid w:val="00EA43A5"/>
    <w:rsid w:val="00EA44B9"/>
    <w:rsid w:val="00EB3958"/>
    <w:rsid w:val="00EE777F"/>
    <w:rsid w:val="00F1085B"/>
    <w:rsid w:val="00F2586D"/>
    <w:rsid w:val="00F769BC"/>
    <w:rsid w:val="00F96B72"/>
    <w:rsid w:val="00FB0A98"/>
    <w:rsid w:val="00FC3AC9"/>
    <w:rsid w:val="05607CC9"/>
    <w:rsid w:val="11A2456B"/>
    <w:rsid w:val="1485366A"/>
    <w:rsid w:val="170B5ED4"/>
    <w:rsid w:val="25076FE5"/>
    <w:rsid w:val="36491FF5"/>
    <w:rsid w:val="3B537D48"/>
    <w:rsid w:val="40FB485D"/>
    <w:rsid w:val="657639C0"/>
    <w:rsid w:val="6E3D36D8"/>
    <w:rsid w:val="6FB178FE"/>
    <w:rsid w:val="7FB538D3"/>
    <w:rsid w:val="C7992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8"/>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basedOn w:val="9"/>
    <w:qFormat/>
    <w:uiPriority w:val="0"/>
    <w:rPr>
      <w:color w:val="0563C1" w:themeColor="hyperlink"/>
      <w:u w:val="single"/>
      <w14:textFill>
        <w14:solidFill>
          <w14:schemeClr w14:val="hlink"/>
        </w14:solidFill>
      </w14:textFill>
    </w:rPr>
  </w:style>
  <w:style w:type="character" w:customStyle="1" w:styleId="12">
    <w:name w:val="页眉 字符"/>
    <w:basedOn w:val="9"/>
    <w:link w:val="5"/>
    <w:qFormat/>
    <w:uiPriority w:val="0"/>
    <w:rPr>
      <w:rFonts w:ascii="Calibri" w:hAnsi="Calibri"/>
      <w:kern w:val="2"/>
      <w:sz w:val="18"/>
      <w:szCs w:val="18"/>
    </w:rPr>
  </w:style>
  <w:style w:type="character" w:customStyle="1" w:styleId="13">
    <w:name w:val="页脚 字符"/>
    <w:basedOn w:val="9"/>
    <w:link w:val="4"/>
    <w:qFormat/>
    <w:uiPriority w:val="99"/>
    <w:rPr>
      <w:rFonts w:ascii="Calibri" w:hAnsi="Calibri"/>
      <w:kern w:val="2"/>
      <w:sz w:val="18"/>
      <w:szCs w:val="18"/>
    </w:rPr>
  </w:style>
  <w:style w:type="character" w:customStyle="1" w:styleId="14">
    <w:name w:val="批注框文本 字符"/>
    <w:basedOn w:val="9"/>
    <w:link w:val="3"/>
    <w:qFormat/>
    <w:uiPriority w:val="0"/>
    <w:rPr>
      <w:rFonts w:ascii="Calibri" w:hAnsi="Calibri"/>
      <w:kern w:val="2"/>
      <w:sz w:val="18"/>
      <w:szCs w:val="18"/>
    </w:rPr>
  </w:style>
  <w:style w:type="character" w:customStyle="1" w:styleId="15">
    <w:name w:val="标题 1 字符"/>
    <w:basedOn w:val="9"/>
    <w:link w:val="2"/>
    <w:qFormat/>
    <w:uiPriority w:val="9"/>
    <w:rPr>
      <w:rFonts w:ascii="宋体" w:hAnsi="宋体" w:cs="宋体"/>
      <w:b/>
      <w:bCs/>
      <w:kern w:val="36"/>
      <w:sz w:val="48"/>
      <w:szCs w:val="48"/>
    </w:rPr>
  </w:style>
  <w:style w:type="paragraph" w:customStyle="1" w:styleId="16">
    <w:name w:val="列表段落1"/>
    <w:basedOn w:val="1"/>
    <w:qFormat/>
    <w:uiPriority w:val="99"/>
    <w:pPr>
      <w:ind w:firstLine="420" w:firstLineChars="200"/>
    </w:pPr>
  </w:style>
  <w:style w:type="character" w:customStyle="1" w:styleId="17">
    <w:name w:val="未处理的提及1"/>
    <w:basedOn w:val="9"/>
    <w:unhideWhenUsed/>
    <w:qFormat/>
    <w:uiPriority w:val="99"/>
    <w:rPr>
      <w:color w:val="605E5C"/>
      <w:shd w:val="clear" w:color="auto" w:fill="E1DFDD"/>
    </w:rPr>
  </w:style>
  <w:style w:type="character" w:customStyle="1" w:styleId="18">
    <w:name w:val="副标题 字符"/>
    <w:basedOn w:val="9"/>
    <w:link w:val="6"/>
    <w:qFormat/>
    <w:uiPriority w:val="0"/>
    <w:rPr>
      <w:rFonts w:asciiTheme="minorHAnsi" w:hAnsiTheme="minorHAnsi" w:eastAsiaTheme="minorEastAsia" w:cstheme="min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1156</Words>
  <Characters>1269</Characters>
  <Lines>9</Lines>
  <Paragraphs>2</Paragraphs>
  <TotalTime>7</TotalTime>
  <ScaleCrop>false</ScaleCrop>
  <LinksUpToDate>false</LinksUpToDate>
  <CharactersWithSpaces>1293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2022-12-09T06:34:00Z</dcterms:created>
  <dc:creator>_沈艳</dc:creator>
  <cp:lastModifiedBy>lenovo</cp:lastModifiedBy>
  <cp:lastPrinted>2022-01-14T15:34:00Z</cp:lastPrinted>
  <dcterms:modified xsi:type="dcterms:W3CDTF">2022-12-12T07:58:11Z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986AFF67247C40D3976D0D9B5D00E73E</vt:lpwstr>
  </property>
</Properties>
</file>