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00" w:afterAutospacing="1"/>
        <w:outlineLvl w:val="0"/>
        <w:rPr>
          <w:rFonts w:ascii="Calibri" w:hAnsi="Calibri" w:eastAsia="黑体"/>
          <w:sz w:val="30"/>
          <w:szCs w:val="30"/>
        </w:rPr>
      </w:pPr>
      <w:bookmarkStart w:id="0" w:name="_Hlk98425865"/>
      <w:bookmarkStart w:id="1" w:name="_Toc81579415"/>
      <w:bookmarkStart w:id="2" w:name="_Toc83633434"/>
      <w:bookmarkStart w:id="81" w:name="_GoBack"/>
      <w:r>
        <w:rPr>
          <w:rFonts w:hint="eastAsia" w:ascii="Calibri" w:hAnsi="Calibri" w:eastAsia="黑体"/>
          <w:sz w:val="30"/>
          <w:szCs w:val="30"/>
        </w:rPr>
        <w:t>广深港客专S700K转辙机大修项目施工总价承包</w:t>
      </w:r>
      <w:bookmarkEnd w:id="0"/>
      <w:r>
        <w:rPr>
          <w:rFonts w:hint="eastAsia" w:ascii="Calibri" w:hAnsi="Calibri" w:eastAsia="黑体"/>
          <w:sz w:val="30"/>
          <w:szCs w:val="30"/>
        </w:rPr>
        <w:t>二次招标公告</w:t>
      </w:r>
      <w:bookmarkEnd w:id="81"/>
      <w:bookmarkEnd w:id="1"/>
      <w:bookmarkEnd w:id="2"/>
      <w:r>
        <w:rPr>
          <w:rFonts w:hint="eastAsia" w:ascii="Calibri" w:hAnsi="Calibri" w:eastAsia="黑体"/>
          <w:sz w:val="30"/>
          <w:szCs w:val="30"/>
        </w:rPr>
        <w:t xml:space="preserve"> </w:t>
      </w:r>
    </w:p>
    <w:p>
      <w:pPr>
        <w:spacing w:before="120"/>
        <w:ind w:left="420" w:firstLine="480"/>
        <w:jc w:val="center"/>
        <w:rPr>
          <w:rFonts w:ascii="Calibri" w:hAnsi="Calibri"/>
          <w:sz w:val="24"/>
          <w:szCs w:val="22"/>
        </w:rPr>
      </w:pPr>
      <w:r>
        <w:rPr>
          <w:rFonts w:ascii="Calibri" w:hAnsi="Calibri"/>
          <w:sz w:val="24"/>
          <w:szCs w:val="22"/>
        </w:rPr>
        <w:t>招标编号</w:t>
      </w:r>
      <w:r>
        <w:rPr>
          <w:rFonts w:hint="eastAsia" w:ascii="Calibri" w:hAnsi="Calibri"/>
          <w:sz w:val="24"/>
          <w:szCs w:val="22"/>
        </w:rPr>
        <w:t>：DWGC-2022-4</w:t>
      </w:r>
    </w:p>
    <w:p>
      <w:pPr>
        <w:tabs>
          <w:tab w:val="left" w:pos="7267"/>
        </w:tabs>
        <w:autoSpaceDE w:val="0"/>
        <w:autoSpaceDN w:val="0"/>
        <w:adjustRightInd w:val="0"/>
        <w:spacing w:before="120" w:after="60" w:line="400" w:lineRule="exact"/>
        <w:ind w:left="420" w:firstLine="560"/>
        <w:textAlignment w:val="baseline"/>
        <w:outlineLvl w:val="0"/>
        <w:rPr>
          <w:rFonts w:ascii="黑体" w:hAnsi="Calibri" w:eastAsia="黑体" w:cs="宋体"/>
          <w:kern w:val="20"/>
          <w:sz w:val="28"/>
          <w:szCs w:val="28"/>
        </w:rPr>
      </w:pPr>
      <w:bookmarkStart w:id="3" w:name="_Toc210355359"/>
      <w:bookmarkStart w:id="4" w:name="_Toc476160809"/>
      <w:bookmarkStart w:id="5" w:name="_Toc277917503"/>
      <w:bookmarkStart w:id="6" w:name="_Toc210364683"/>
      <w:bookmarkStart w:id="7" w:name="_Toc53589638"/>
      <w:bookmarkStart w:id="8" w:name="_Toc210327497"/>
      <w:bookmarkStart w:id="9" w:name="_Toc276714872"/>
      <w:bookmarkStart w:id="10" w:name="_Toc83633435"/>
      <w:r>
        <w:rPr>
          <w:rFonts w:hint="eastAsia" w:ascii="黑体" w:hAnsi="Calibri" w:eastAsia="黑体" w:cs="宋体"/>
          <w:kern w:val="20"/>
          <w:sz w:val="28"/>
          <w:szCs w:val="28"/>
        </w:rPr>
        <w:t>1.招标条件</w:t>
      </w:r>
      <w:bookmarkEnd w:id="3"/>
      <w:bookmarkEnd w:id="4"/>
      <w:bookmarkEnd w:id="5"/>
      <w:bookmarkEnd w:id="6"/>
      <w:bookmarkEnd w:id="7"/>
      <w:bookmarkEnd w:id="8"/>
      <w:bookmarkEnd w:id="9"/>
      <w:bookmarkEnd w:id="10"/>
    </w:p>
    <w:p>
      <w:pPr>
        <w:spacing w:before="120" w:line="400" w:lineRule="exact"/>
        <w:ind w:left="420" w:firstLine="420"/>
        <w:rPr>
          <w:rFonts w:ascii="Calibri" w:hAnsi="Calibri"/>
          <w:szCs w:val="22"/>
        </w:rPr>
      </w:pPr>
      <w:r>
        <w:rPr>
          <w:rFonts w:ascii="宋体" w:hAnsi="宋体"/>
          <w:szCs w:val="21"/>
        </w:rPr>
        <w:t>本建设项目</w:t>
      </w:r>
      <w:r>
        <w:rPr>
          <w:rFonts w:hint="eastAsia" w:ascii="宋体" w:hAnsi="宋体"/>
          <w:szCs w:val="21"/>
        </w:rPr>
        <w:t>广深港客专S700K转辙机大修项目已经同意立项, 预算已批复,施工图设计文件完备，并经</w:t>
      </w:r>
      <w:r>
        <w:rPr>
          <w:rFonts w:hint="eastAsia" w:ascii="Calibri" w:hAnsi="Calibri"/>
          <w:szCs w:val="22"/>
        </w:rPr>
        <w:t>中国铁路广州局集团有限公司电务部</w:t>
      </w:r>
      <w:r>
        <w:rPr>
          <w:rFonts w:ascii="Calibri" w:hAnsi="Calibri"/>
          <w:szCs w:val="22"/>
        </w:rPr>
        <w:t>以</w:t>
      </w:r>
      <w:r>
        <w:rPr>
          <w:rFonts w:hint="eastAsia" w:ascii="Calibri" w:hAnsi="Calibri"/>
          <w:szCs w:val="22"/>
        </w:rPr>
        <w:t>《关于广深港客专侧线道岔外锁装置大修等4个项目招标计划的复函》（电函〔2022〕115 号）</w:t>
      </w:r>
      <w:r>
        <w:rPr>
          <w:rFonts w:ascii="Calibri" w:hAnsi="Calibri"/>
          <w:szCs w:val="22"/>
        </w:rPr>
        <w:t>批准</w:t>
      </w:r>
      <w:r>
        <w:rPr>
          <w:rFonts w:hint="eastAsia" w:ascii="Calibri" w:hAnsi="Calibri"/>
          <w:szCs w:val="22"/>
        </w:rPr>
        <w:t>招标</w:t>
      </w:r>
      <w:r>
        <w:rPr>
          <w:rFonts w:ascii="Calibri" w:hAnsi="Calibri"/>
          <w:szCs w:val="22"/>
        </w:rPr>
        <w:t>，</w:t>
      </w:r>
      <w:r>
        <w:rPr>
          <w:rFonts w:hint="eastAsia" w:ascii="Calibri" w:hAnsi="Calibri"/>
          <w:szCs w:val="22"/>
        </w:rPr>
        <w:t>项目业主和出资人均是广深港客专公司，建设资金来源为大修资金</w:t>
      </w:r>
      <w:r>
        <w:rPr>
          <w:rFonts w:ascii="Calibri" w:hAnsi="Calibri"/>
          <w:szCs w:val="22"/>
        </w:rPr>
        <w:t>，资金已落实，</w:t>
      </w:r>
      <w:r>
        <w:rPr>
          <w:rFonts w:ascii="宋体" w:hAnsi="宋体"/>
          <w:szCs w:val="21"/>
        </w:rPr>
        <w:t>招标人为</w:t>
      </w:r>
      <w:r>
        <w:rPr>
          <w:rFonts w:hint="eastAsia" w:ascii="宋体" w:hAnsi="宋体" w:cs="仿宋_GB2312"/>
          <w:kern w:val="0"/>
          <w:szCs w:val="21"/>
          <w:lang w:val="zh-CN"/>
        </w:rPr>
        <w:t>广深铁路股份有限公司广州电务段</w:t>
      </w:r>
      <w:r>
        <w:rPr>
          <w:rFonts w:ascii="宋体" w:hAnsi="宋体"/>
          <w:szCs w:val="21"/>
        </w:rPr>
        <w:t>。</w:t>
      </w:r>
      <w:r>
        <w:rPr>
          <w:rFonts w:ascii="Calibri" w:hAnsi="Calibri"/>
          <w:szCs w:val="22"/>
        </w:rPr>
        <w:t>本次招标项目已具备法定招标条件，现进行公开</w:t>
      </w:r>
      <w:r>
        <w:rPr>
          <w:rFonts w:hint="eastAsia" w:ascii="Calibri" w:hAnsi="Calibri"/>
          <w:szCs w:val="22"/>
        </w:rPr>
        <w:t>二次</w:t>
      </w:r>
      <w:r>
        <w:rPr>
          <w:rFonts w:ascii="Calibri" w:hAnsi="Calibri"/>
          <w:szCs w:val="22"/>
        </w:rPr>
        <w:t>招标</w:t>
      </w:r>
      <w:r>
        <w:rPr>
          <w:rFonts w:ascii="Calibri" w:hAnsi="Calibri"/>
          <w:szCs w:val="21"/>
        </w:rPr>
        <w:t>。</w:t>
      </w:r>
    </w:p>
    <w:p>
      <w:pPr>
        <w:autoSpaceDE w:val="0"/>
        <w:autoSpaceDN w:val="0"/>
        <w:adjustRightInd w:val="0"/>
        <w:spacing w:before="120" w:after="60" w:line="400" w:lineRule="exact"/>
        <w:ind w:left="420" w:firstLine="560"/>
        <w:textAlignment w:val="baseline"/>
        <w:outlineLvl w:val="0"/>
        <w:rPr>
          <w:rFonts w:ascii="黑体" w:hAnsi="Calibri" w:eastAsia="黑体" w:cs="宋体"/>
          <w:kern w:val="20"/>
          <w:sz w:val="28"/>
          <w:szCs w:val="28"/>
        </w:rPr>
      </w:pPr>
      <w:bookmarkStart w:id="11" w:name="_Toc210364684"/>
      <w:bookmarkStart w:id="12" w:name="_Toc476160810"/>
      <w:bookmarkStart w:id="13" w:name="_Toc210355360"/>
      <w:bookmarkStart w:id="14" w:name="_Toc277917504"/>
      <w:bookmarkStart w:id="15" w:name="_Toc210327498"/>
      <w:bookmarkStart w:id="16" w:name="_Toc53589639"/>
      <w:bookmarkStart w:id="17" w:name="_Toc276714873"/>
      <w:bookmarkStart w:id="18" w:name="_Toc83633436"/>
      <w:r>
        <w:rPr>
          <w:rFonts w:ascii="黑体" w:hAnsi="Calibri" w:eastAsia="黑体" w:cs="宋体"/>
          <w:kern w:val="20"/>
          <w:sz w:val="28"/>
          <w:szCs w:val="28"/>
        </w:rPr>
        <w:t>2.项目概况与招标范围</w:t>
      </w:r>
      <w:bookmarkEnd w:id="11"/>
      <w:bookmarkEnd w:id="12"/>
      <w:bookmarkEnd w:id="13"/>
      <w:bookmarkEnd w:id="14"/>
      <w:bookmarkEnd w:id="15"/>
      <w:bookmarkEnd w:id="16"/>
      <w:bookmarkEnd w:id="17"/>
      <w:bookmarkEnd w:id="18"/>
    </w:p>
    <w:p>
      <w:pPr>
        <w:tabs>
          <w:tab w:val="left" w:pos="632"/>
        </w:tabs>
        <w:adjustRightInd w:val="0"/>
        <w:spacing w:before="120" w:line="400" w:lineRule="atLeast"/>
        <w:ind w:left="420" w:firstLine="422"/>
        <w:outlineLvl w:val="0"/>
        <w:rPr>
          <w:rFonts w:ascii="Calibri" w:hAnsi="Calibri"/>
          <w:b/>
          <w:szCs w:val="21"/>
        </w:rPr>
      </w:pPr>
      <w:bookmarkStart w:id="19" w:name="_Toc83633437"/>
      <w:bookmarkStart w:id="20" w:name="_Toc53589640"/>
      <w:bookmarkStart w:id="21" w:name="_Toc81579418"/>
      <w:bookmarkStart w:id="22" w:name="_Toc53584085"/>
      <w:bookmarkStart w:id="23" w:name="_Toc210327499"/>
      <w:bookmarkStart w:id="24" w:name="_Toc277917505"/>
      <w:bookmarkStart w:id="25" w:name="_Toc276714874"/>
      <w:bookmarkStart w:id="26" w:name="_Toc210355361"/>
      <w:bookmarkStart w:id="27" w:name="_Toc210364685"/>
      <w:r>
        <w:rPr>
          <w:rFonts w:hint="eastAsia" w:ascii="Calibri" w:hAnsi="Calibri"/>
          <w:b/>
          <w:szCs w:val="21"/>
        </w:rPr>
        <w:t>2.1 项目概况</w:t>
      </w:r>
      <w:bookmarkEnd w:id="19"/>
      <w:bookmarkEnd w:id="20"/>
      <w:bookmarkEnd w:id="21"/>
      <w:bookmarkEnd w:id="22"/>
    </w:p>
    <w:p>
      <w:pPr>
        <w:tabs>
          <w:tab w:val="left" w:pos="632"/>
        </w:tabs>
        <w:adjustRightInd w:val="0"/>
        <w:spacing w:before="120" w:line="400" w:lineRule="atLeast"/>
        <w:ind w:left="420" w:firstLine="420"/>
        <w:rPr>
          <w:rFonts w:ascii="宋体" w:hAnsi="宋体" w:cs="仿宋_GB2312"/>
          <w:kern w:val="0"/>
          <w:szCs w:val="21"/>
        </w:rPr>
      </w:pPr>
      <w:r>
        <w:rPr>
          <w:rFonts w:hint="eastAsia" w:ascii="宋体" w:hAnsi="宋体" w:cs="仿宋_GB2312"/>
          <w:kern w:val="0"/>
          <w:szCs w:val="21"/>
        </w:rPr>
        <w:t>2.1.1建设地点：</w:t>
      </w:r>
      <w:r>
        <w:rPr>
          <w:rFonts w:ascii="Calibri" w:hAnsi="Calibri"/>
          <w:szCs w:val="22"/>
        </w:rPr>
        <w:t>广深港客专广州段管内庆盛、虎门、光明城、深圳北 4 站</w:t>
      </w:r>
      <w:r>
        <w:rPr>
          <w:rFonts w:hint="eastAsia" w:ascii="宋体" w:hAnsi="宋体" w:cs="仿宋_GB2312"/>
          <w:kern w:val="0"/>
          <w:szCs w:val="21"/>
        </w:rPr>
        <w:t>；</w:t>
      </w:r>
    </w:p>
    <w:p>
      <w:pPr>
        <w:tabs>
          <w:tab w:val="left" w:pos="632"/>
        </w:tabs>
        <w:adjustRightInd w:val="0"/>
        <w:spacing w:before="120" w:line="400" w:lineRule="atLeast"/>
        <w:ind w:left="420" w:firstLine="420"/>
        <w:rPr>
          <w:rFonts w:ascii="宋体" w:hAnsi="宋体" w:cs="仿宋_GB2312"/>
          <w:kern w:val="0"/>
          <w:szCs w:val="21"/>
        </w:rPr>
      </w:pPr>
      <w:r>
        <w:rPr>
          <w:rFonts w:hint="eastAsia" w:ascii="宋体" w:hAnsi="宋体" w:cs="仿宋_GB2312"/>
          <w:kern w:val="0"/>
          <w:szCs w:val="21"/>
        </w:rPr>
        <w:t>2.1.2建设规模：</w:t>
      </w:r>
      <w:r>
        <w:rPr>
          <w:rFonts w:ascii="Calibri" w:hAnsi="Calibri"/>
          <w:szCs w:val="22"/>
        </w:rPr>
        <w:t>对</w:t>
      </w:r>
      <w:bookmarkStart w:id="28" w:name="_Hlk116841815"/>
      <w:r>
        <w:rPr>
          <w:rFonts w:ascii="Calibri" w:hAnsi="Calibri"/>
          <w:szCs w:val="22"/>
        </w:rPr>
        <w:t xml:space="preserve">广深港客专广州段管内庆盛、虎门、光明城、深圳北 4 站 </w:t>
      </w:r>
      <w:bookmarkEnd w:id="28"/>
      <w:r>
        <w:rPr>
          <w:rFonts w:ascii="Calibri" w:hAnsi="Calibri"/>
          <w:szCs w:val="22"/>
        </w:rPr>
        <w:t>49 组正线道岔的 245 台 S700K 型电动转辙机进行返原厂轮修，采用分批次实施的方式，由设备供应商提供轮换的 S700K-C 型电动转辙机，对既有设备进行更换，替换下道的转辙机返原厂进行检测维修，维修检测合格后再重新上道，替换下一批次需大修的转辙机，本次工程计划分三批次实施，完成 245 台 S700K 型转辙机的轮修</w:t>
      </w:r>
      <w:r>
        <w:rPr>
          <w:rFonts w:hint="eastAsia" w:ascii="Calibri" w:hAnsi="Calibri"/>
          <w:szCs w:val="22"/>
        </w:rPr>
        <w:t>。</w:t>
      </w:r>
    </w:p>
    <w:p>
      <w:pPr>
        <w:tabs>
          <w:tab w:val="left" w:pos="632"/>
        </w:tabs>
        <w:adjustRightInd w:val="0"/>
        <w:spacing w:before="120" w:line="400" w:lineRule="atLeast"/>
        <w:ind w:left="420" w:firstLine="422"/>
        <w:outlineLvl w:val="0"/>
        <w:rPr>
          <w:rFonts w:ascii="Calibri" w:hAnsi="Calibri"/>
          <w:b/>
          <w:szCs w:val="21"/>
        </w:rPr>
      </w:pPr>
      <w:bookmarkStart w:id="29" w:name="_Toc83633438"/>
      <w:bookmarkStart w:id="30" w:name="_Toc53584086"/>
      <w:bookmarkStart w:id="31" w:name="_Toc81579419"/>
      <w:bookmarkStart w:id="32" w:name="_Toc53589641"/>
      <w:r>
        <w:rPr>
          <w:rFonts w:hint="eastAsia" w:ascii="Calibri" w:hAnsi="Calibri"/>
          <w:b/>
          <w:szCs w:val="21"/>
        </w:rPr>
        <w:t>2.2招标范围</w:t>
      </w:r>
      <w:bookmarkEnd w:id="29"/>
      <w:bookmarkEnd w:id="30"/>
      <w:bookmarkEnd w:id="31"/>
      <w:bookmarkEnd w:id="32"/>
    </w:p>
    <w:p>
      <w:pPr>
        <w:tabs>
          <w:tab w:val="left" w:pos="632"/>
        </w:tabs>
        <w:adjustRightInd w:val="0"/>
        <w:spacing w:before="120" w:line="400" w:lineRule="atLeast"/>
        <w:ind w:left="420" w:firstLine="420"/>
      </w:pPr>
      <w:r>
        <w:rPr>
          <w:rFonts w:hint="eastAsia" w:ascii="宋体" w:hAnsi="宋体" w:cs="仿宋_GB2312"/>
          <w:kern w:val="0"/>
          <w:szCs w:val="21"/>
        </w:rPr>
        <w:t>2</w:t>
      </w:r>
      <w:r>
        <w:rPr>
          <w:rFonts w:ascii="宋体" w:hAnsi="宋体" w:cs="仿宋_GB2312"/>
          <w:kern w:val="0"/>
          <w:szCs w:val="21"/>
        </w:rPr>
        <w:t>.2.1招标范围：</w:t>
      </w:r>
      <w:r>
        <w:t>全部大修更换的S700K转辙机涉及的建筑工程、安装工程（含设备工器具）及转辙机返原厂检测维修费。广深港客专S700K转辙机大修施工图的全部内容</w:t>
      </w:r>
    </w:p>
    <w:p>
      <w:pPr>
        <w:tabs>
          <w:tab w:val="left" w:pos="632"/>
        </w:tabs>
        <w:adjustRightInd w:val="0"/>
        <w:spacing w:before="120" w:line="400" w:lineRule="atLeast"/>
        <w:ind w:firstLine="630" w:firstLineChars="300"/>
        <w:rPr>
          <w:rFonts w:ascii="宋体" w:hAnsi="宋体"/>
          <w:szCs w:val="21"/>
          <w:lang w:val="zh-CN"/>
        </w:rPr>
      </w:pPr>
      <w:r>
        <w:rPr>
          <w:rFonts w:hint="eastAsia" w:ascii="宋体" w:hAnsi="宋体" w:cs="仿宋_GB2312"/>
          <w:kern w:val="0"/>
          <w:szCs w:val="21"/>
        </w:rPr>
        <w:t>2.2.2</w:t>
      </w:r>
      <w:r>
        <w:rPr>
          <w:rFonts w:ascii="Calibri" w:hAnsi="Calibri"/>
          <w:szCs w:val="21"/>
        </w:rPr>
        <w:t>标段划分：</w:t>
      </w:r>
      <w:r>
        <w:rPr>
          <w:rFonts w:hint="eastAsia" w:ascii="宋体" w:hAnsi="宋体"/>
          <w:szCs w:val="21"/>
          <w:lang w:val="zh-CN"/>
        </w:rPr>
        <w:t>本次拟划分为</w:t>
      </w:r>
      <w:r>
        <w:rPr>
          <w:rFonts w:hint="eastAsia" w:ascii="宋体" w:hAnsi="宋体"/>
          <w:szCs w:val="21"/>
        </w:rPr>
        <w:t>1</w:t>
      </w:r>
      <w:r>
        <w:rPr>
          <w:rFonts w:hint="eastAsia" w:ascii="宋体" w:hAnsi="宋体"/>
          <w:szCs w:val="21"/>
          <w:lang w:val="zh-CN"/>
        </w:rPr>
        <w:t>个标段。</w:t>
      </w:r>
    </w:p>
    <w:p>
      <w:pPr>
        <w:tabs>
          <w:tab w:val="left" w:pos="632"/>
        </w:tabs>
        <w:adjustRightInd w:val="0"/>
        <w:spacing w:before="120" w:line="400" w:lineRule="atLeast"/>
        <w:ind w:left="672" w:leftChars="320"/>
        <w:rPr>
          <w:rFonts w:ascii="宋体" w:hAnsi="宋体" w:cs="仿宋_GB2312"/>
          <w:kern w:val="0"/>
          <w:szCs w:val="21"/>
        </w:rPr>
      </w:pPr>
      <w:r>
        <w:rPr>
          <w:rFonts w:hint="eastAsia" w:ascii="宋体" w:hAnsi="宋体" w:cs="仿宋_GB2312"/>
          <w:kern w:val="0"/>
          <w:szCs w:val="21"/>
        </w:rPr>
        <w:t>2.2.3</w:t>
      </w:r>
      <w:r>
        <w:rPr>
          <w:rFonts w:ascii="Calibri" w:hAnsi="Calibri"/>
          <w:szCs w:val="21"/>
        </w:rPr>
        <w:t>计划工期：</w:t>
      </w:r>
      <w:r>
        <w:rPr>
          <w:rFonts w:hint="eastAsia" w:ascii="Calibri" w:hAnsi="Calibri"/>
          <w:szCs w:val="22"/>
        </w:rPr>
        <w:t>2个月</w:t>
      </w:r>
      <w:r>
        <w:rPr>
          <w:rFonts w:ascii="Calibri" w:hAnsi="Calibri"/>
          <w:szCs w:val="21"/>
        </w:rPr>
        <w:t>，计划开工日期</w:t>
      </w:r>
      <w:r>
        <w:rPr>
          <w:rFonts w:ascii="Calibri" w:hAnsi="Calibri"/>
          <w:szCs w:val="21"/>
          <w:u w:val="single"/>
        </w:rPr>
        <w:t>2022</w:t>
      </w:r>
      <w:r>
        <w:rPr>
          <w:rFonts w:hint="eastAsia" w:ascii="Calibri" w:hAnsi="Calibri"/>
          <w:szCs w:val="21"/>
        </w:rPr>
        <w:t>年</w:t>
      </w:r>
      <w:r>
        <w:rPr>
          <w:rFonts w:ascii="Calibri" w:hAnsi="Calibri"/>
          <w:szCs w:val="21"/>
          <w:u w:val="single"/>
        </w:rPr>
        <w:t>11</w:t>
      </w:r>
      <w:r>
        <w:rPr>
          <w:rFonts w:hint="eastAsia" w:ascii="Calibri" w:hAnsi="Calibri"/>
          <w:szCs w:val="21"/>
        </w:rPr>
        <w:t>月</w:t>
      </w:r>
      <w:r>
        <w:rPr>
          <w:rFonts w:ascii="Calibri" w:hAnsi="Calibri"/>
          <w:szCs w:val="21"/>
          <w:u w:val="single"/>
        </w:rPr>
        <w:t>1</w:t>
      </w:r>
      <w:r>
        <w:rPr>
          <w:rFonts w:hint="eastAsia" w:ascii="Calibri" w:hAnsi="Calibri"/>
          <w:szCs w:val="21"/>
        </w:rPr>
        <w:t>日，</w:t>
      </w:r>
      <w:r>
        <w:rPr>
          <w:rFonts w:ascii="Calibri" w:hAnsi="Calibri"/>
          <w:szCs w:val="21"/>
        </w:rPr>
        <w:t>计划</w:t>
      </w:r>
      <w:r>
        <w:rPr>
          <w:rFonts w:hint="eastAsia" w:ascii="Calibri" w:hAnsi="Calibri"/>
          <w:szCs w:val="21"/>
        </w:rPr>
        <w:t>竣工</w:t>
      </w:r>
      <w:r>
        <w:rPr>
          <w:rFonts w:ascii="Calibri" w:hAnsi="Calibri"/>
          <w:szCs w:val="21"/>
        </w:rPr>
        <w:t>日期</w:t>
      </w:r>
      <w:r>
        <w:rPr>
          <w:rFonts w:ascii="Calibri" w:hAnsi="Calibri"/>
          <w:szCs w:val="21"/>
          <w:u w:val="single"/>
        </w:rPr>
        <w:t>2022</w:t>
      </w:r>
      <w:r>
        <w:rPr>
          <w:rFonts w:hint="eastAsia" w:ascii="Calibri" w:hAnsi="Calibri"/>
          <w:szCs w:val="21"/>
        </w:rPr>
        <w:t>年</w:t>
      </w:r>
      <w:r>
        <w:rPr>
          <w:rFonts w:ascii="Calibri" w:hAnsi="Calibri"/>
          <w:szCs w:val="21"/>
          <w:u w:val="single"/>
        </w:rPr>
        <w:t>12</w:t>
      </w:r>
      <w:r>
        <w:rPr>
          <w:rFonts w:hint="eastAsia" w:ascii="Calibri" w:hAnsi="Calibri"/>
          <w:szCs w:val="21"/>
        </w:rPr>
        <w:t>月</w:t>
      </w:r>
      <w:r>
        <w:rPr>
          <w:rFonts w:ascii="Calibri" w:hAnsi="Calibri"/>
          <w:szCs w:val="21"/>
          <w:u w:val="single"/>
        </w:rPr>
        <w:t>31</w:t>
      </w:r>
      <w:r>
        <w:rPr>
          <w:rFonts w:hint="eastAsia" w:ascii="Calibri" w:hAnsi="Calibri"/>
          <w:szCs w:val="21"/>
        </w:rPr>
        <w:t>日</w:t>
      </w:r>
      <w:r>
        <w:rPr>
          <w:rFonts w:ascii="Calibri" w:hAnsi="Calibri"/>
          <w:szCs w:val="21"/>
        </w:rPr>
        <w:t>。</w:t>
      </w:r>
    </w:p>
    <w:p>
      <w:pPr>
        <w:tabs>
          <w:tab w:val="left" w:pos="632"/>
        </w:tabs>
        <w:adjustRightInd w:val="0"/>
        <w:spacing w:before="120" w:line="400" w:lineRule="atLeast"/>
        <w:ind w:left="420" w:firstLine="422"/>
        <w:rPr>
          <w:rFonts w:ascii="仿宋_GB2312" w:hAnsi="Calibri"/>
          <w:szCs w:val="21"/>
          <w:lang w:val="zh-CN"/>
        </w:rPr>
      </w:pPr>
      <w:r>
        <w:rPr>
          <w:rFonts w:hint="eastAsia" w:ascii="Calibri" w:hAnsi="Calibri"/>
          <w:b/>
          <w:szCs w:val="21"/>
        </w:rPr>
        <w:t>2.3</w:t>
      </w:r>
      <w:r>
        <w:rPr>
          <w:rFonts w:ascii="Calibri" w:hAnsi="Calibri"/>
          <w:b/>
          <w:szCs w:val="21"/>
        </w:rPr>
        <w:t>其他说明</w:t>
      </w:r>
      <w:r>
        <w:rPr>
          <w:rFonts w:hint="eastAsia" w:ascii="Calibri" w:hAnsi="Calibri"/>
          <w:b/>
          <w:szCs w:val="21"/>
        </w:rPr>
        <w:t>：</w:t>
      </w:r>
    </w:p>
    <w:p>
      <w:pPr>
        <w:tabs>
          <w:tab w:val="left" w:pos="632"/>
        </w:tabs>
        <w:adjustRightInd w:val="0"/>
        <w:spacing w:before="120" w:line="400" w:lineRule="atLeast"/>
        <w:ind w:left="420" w:firstLine="420"/>
        <w:rPr>
          <w:rFonts w:ascii="宋体" w:hAnsi="宋体" w:cs="仿宋_GB2312"/>
          <w:kern w:val="0"/>
          <w:szCs w:val="21"/>
        </w:rPr>
      </w:pPr>
      <w:r>
        <w:rPr>
          <w:rFonts w:hint="eastAsia" w:ascii="宋体" w:hAnsi="宋体" w:cs="仿宋_GB2312"/>
          <w:kern w:val="0"/>
          <w:szCs w:val="21"/>
        </w:rPr>
        <w:t>2.3.1</w:t>
      </w:r>
      <w:r>
        <w:rPr>
          <w:rFonts w:hint="eastAsia" w:ascii="宋体" w:hAnsi="宋体"/>
          <w:szCs w:val="21"/>
        </w:rPr>
        <w:t>工程总投资</w:t>
      </w:r>
      <w:r>
        <w:t>594.8668</w:t>
      </w:r>
      <w:r>
        <w:rPr>
          <w:rFonts w:hint="eastAsia" w:ascii="宋体" w:hAnsi="宋体"/>
          <w:szCs w:val="21"/>
        </w:rPr>
        <w:t>万元，</w:t>
      </w:r>
      <w:r>
        <w:rPr>
          <w:rFonts w:hint="eastAsia" w:ascii="宋体" w:hAnsi="宋体"/>
          <w:bCs/>
          <w:szCs w:val="21"/>
        </w:rPr>
        <w:t>本次工程施工最高投标限价</w:t>
      </w:r>
      <w:r>
        <w:t>573.99</w:t>
      </w:r>
      <w:r>
        <w:rPr>
          <w:rFonts w:hint="eastAsia" w:ascii="宋体" w:hAnsi="宋体"/>
          <w:bCs/>
          <w:szCs w:val="21"/>
        </w:rPr>
        <w:t>万元（（不降造、不含甲供物资）。</w:t>
      </w:r>
    </w:p>
    <w:p>
      <w:pPr>
        <w:spacing w:before="120" w:line="332" w:lineRule="auto"/>
        <w:ind w:left="420" w:right="82" w:firstLine="420"/>
        <w:rPr>
          <w:rFonts w:ascii="宋体" w:hAnsi="宋体" w:cs="仿宋_GB2312"/>
          <w:kern w:val="0"/>
          <w:szCs w:val="21"/>
        </w:rPr>
      </w:pPr>
      <w:r>
        <w:rPr>
          <w:rFonts w:hint="eastAsia" w:ascii="宋体" w:hAnsi="宋体" w:cs="仿宋_GB2312"/>
          <w:kern w:val="0"/>
          <w:szCs w:val="21"/>
        </w:rPr>
        <w:t>2.3.2工程施工主要内容：</w:t>
      </w:r>
    </w:p>
    <w:p>
      <w:pPr>
        <w:spacing w:before="120" w:line="332" w:lineRule="auto"/>
        <w:ind w:left="420" w:right="82" w:firstLine="420"/>
        <w:rPr>
          <w:rFonts w:ascii="宋体" w:hAnsi="宋体" w:cs="仿宋_GB2312"/>
          <w:bCs/>
          <w:kern w:val="0"/>
          <w:szCs w:val="21"/>
        </w:rPr>
      </w:pPr>
      <w:r>
        <w:rPr>
          <w:rFonts w:ascii="宋体" w:hAnsi="宋体" w:cs="仿宋_GB2312"/>
          <w:bCs/>
          <w:kern w:val="0"/>
          <w:szCs w:val="21"/>
        </w:rPr>
        <w:t>本次对广深港客专广州段管内庆盛、虎门、光明城、深圳北4 站49组正线道岔的245台S700K型电动转辙机进行大修，主要工程内容包括既有转辙机的拆除、搬运下道，新转辙机的搬运、安装和调试，以及下道转辙机的返原厂检测维修。</w:t>
      </w:r>
    </w:p>
    <w:p>
      <w:pPr>
        <w:spacing w:before="120" w:line="332" w:lineRule="auto"/>
        <w:ind w:left="420" w:right="82" w:firstLine="420"/>
        <w:rPr>
          <w:rFonts w:ascii="Calibri" w:hAnsi="Calibri"/>
          <w:bCs/>
          <w:szCs w:val="22"/>
        </w:rPr>
      </w:pPr>
      <w:r>
        <w:rPr>
          <w:rFonts w:hint="eastAsia" w:ascii="宋体" w:hAnsi="宋体" w:cs="仿宋_GB2312"/>
          <w:kern w:val="0"/>
          <w:szCs w:val="21"/>
        </w:rPr>
        <w:t>重点难点：</w:t>
      </w:r>
      <w:bookmarkStart w:id="33" w:name="_Toc83633439"/>
      <w:bookmarkStart w:id="34" w:name="_Toc476160811"/>
      <w:bookmarkStart w:id="35" w:name="_Toc53589644"/>
      <w:r>
        <w:rPr>
          <w:rFonts w:ascii="Calibri" w:hAnsi="Calibri"/>
          <w:bCs/>
          <w:szCs w:val="22"/>
        </w:rPr>
        <w:t>本工程施工为既有线施工，不得影响既有设备使用，不得耽误列车运行，施工安排在天窗内进行，施工后同步开通。根据《广州局集团公司铁路营业线施工管理细则》（广铁施工发〔2021〕100 号）、《广州局集团公司电务系统铁路营业线施工管理实施细则》（广铁电发〔2021〕96号）规定，本项目为营业线</w:t>
      </w:r>
      <w:r>
        <w:rPr>
          <w:rFonts w:hint="eastAsia" w:ascii="宋体" w:hAnsi="宋体" w:cs="宋体"/>
          <w:bCs/>
          <w:szCs w:val="22"/>
        </w:rPr>
        <w:t>Ⅲ</w:t>
      </w:r>
      <w:r>
        <w:rPr>
          <w:rFonts w:ascii="Calibri" w:hAnsi="Calibri"/>
          <w:bCs/>
          <w:szCs w:val="22"/>
        </w:rPr>
        <w:t>级重点施工，需严格按批准的设计文件和施工方案进行施工，确保工程质量。</w:t>
      </w:r>
    </w:p>
    <w:p>
      <w:pPr>
        <w:spacing w:before="120" w:line="332" w:lineRule="auto"/>
        <w:ind w:left="420" w:right="82" w:firstLine="420"/>
        <w:rPr>
          <w:rFonts w:ascii="黑体" w:hAnsi="Calibri" w:eastAsia="黑体" w:cs="宋体"/>
          <w:kern w:val="20"/>
          <w:sz w:val="28"/>
          <w:szCs w:val="28"/>
        </w:rPr>
      </w:pPr>
      <w:r>
        <w:rPr>
          <w:rFonts w:ascii="黑体" w:hAnsi="Calibri" w:eastAsia="黑体" w:cs="宋体"/>
          <w:kern w:val="20"/>
          <w:sz w:val="28"/>
          <w:szCs w:val="28"/>
        </w:rPr>
        <w:t>3.投标人资格要求</w:t>
      </w:r>
      <w:bookmarkEnd w:id="23"/>
      <w:bookmarkEnd w:id="24"/>
      <w:bookmarkEnd w:id="25"/>
      <w:bookmarkEnd w:id="26"/>
      <w:bookmarkEnd w:id="27"/>
      <w:bookmarkEnd w:id="33"/>
      <w:bookmarkEnd w:id="34"/>
      <w:bookmarkEnd w:id="35"/>
    </w:p>
    <w:p>
      <w:pPr>
        <w:adjustRightInd w:val="0"/>
        <w:spacing w:before="120" w:line="400" w:lineRule="atLeast"/>
        <w:ind w:left="-71" w:leftChars="-34" w:right="-67" w:rightChars="-32" w:firstLine="422"/>
        <w:rPr>
          <w:rFonts w:ascii="Calibri" w:hAnsi="Calibri"/>
          <w:b/>
          <w:szCs w:val="21"/>
        </w:rPr>
      </w:pPr>
      <w:r>
        <w:rPr>
          <w:rFonts w:ascii="Calibri" w:hAnsi="Calibri"/>
          <w:b/>
          <w:szCs w:val="21"/>
        </w:rPr>
        <w:t>3.1</w:t>
      </w:r>
      <w:r>
        <w:rPr>
          <w:rFonts w:ascii="Calibri" w:hAnsi="Calibri"/>
          <w:szCs w:val="21"/>
        </w:rPr>
        <w:t>本次招标要求投标人为在中华人民共和国境内合法注册的独立法人，具备有效的营业执照、施工企业资质和安全生产许可证等， 并在人员、设备、资金等方面具备相应的施工能力。资格要求如下：</w:t>
      </w:r>
    </w:p>
    <w:p>
      <w:pPr>
        <w:adjustRightInd w:val="0"/>
        <w:spacing w:before="120"/>
        <w:ind w:left="-71" w:leftChars="-34" w:right="-67" w:rightChars="-32" w:firstLine="420"/>
        <w:rPr>
          <w:rFonts w:ascii="Calibri" w:hAnsi="Calibri"/>
          <w:szCs w:val="21"/>
        </w:rPr>
      </w:pPr>
      <w:r>
        <w:rPr>
          <w:rFonts w:ascii="Calibri" w:hAnsi="Calibri"/>
          <w:szCs w:val="21"/>
        </w:rPr>
        <w:t>3.1.1标段编号：</w:t>
      </w:r>
      <w:r>
        <w:rPr>
          <w:rFonts w:ascii="Calibri" w:hAnsi="Calibri"/>
          <w:szCs w:val="21"/>
          <w:u w:val="single"/>
        </w:rPr>
        <w:t xml:space="preserve">     </w:t>
      </w:r>
      <w:r>
        <w:rPr>
          <w:rFonts w:hint="eastAsia" w:ascii="Calibri" w:hAnsi="Calibri"/>
          <w:szCs w:val="21"/>
          <w:u w:val="single"/>
        </w:rPr>
        <w:t>/</w:t>
      </w:r>
      <w:r>
        <w:rPr>
          <w:rFonts w:ascii="Calibri" w:hAnsi="Calibri"/>
          <w:szCs w:val="21"/>
          <w:u w:val="single"/>
        </w:rPr>
        <w:t xml:space="preserve">     </w:t>
      </w:r>
      <w:r>
        <w:rPr>
          <w:rFonts w:hint="eastAsia" w:ascii="Calibri" w:hAnsi="Calibri"/>
          <w:szCs w:val="21"/>
        </w:rPr>
        <w:t>。</w:t>
      </w:r>
    </w:p>
    <w:p>
      <w:pPr>
        <w:spacing w:before="120" w:after="2" w:line="331" w:lineRule="auto"/>
        <w:ind w:left="420" w:right="82" w:firstLine="420"/>
        <w:rPr>
          <w:rFonts w:ascii="Calibri" w:hAnsi="Calibri"/>
          <w:szCs w:val="22"/>
        </w:rPr>
      </w:pPr>
      <w:r>
        <w:rPr>
          <w:rFonts w:ascii="Calibri" w:hAnsi="Calibri"/>
          <w:szCs w:val="21"/>
        </w:rPr>
        <w:t>（1）</w:t>
      </w:r>
      <w:r>
        <w:rPr>
          <w:rFonts w:ascii="宋体" w:hAnsi="宋体" w:cs="宋体"/>
          <w:spacing w:val="-1"/>
          <w:szCs w:val="21"/>
        </w:rPr>
        <w:t>资</w:t>
      </w:r>
      <w:r>
        <w:rPr>
          <w:rFonts w:ascii="宋体" w:hAnsi="宋体" w:cs="宋体"/>
          <w:szCs w:val="21"/>
        </w:rPr>
        <w:t>质要求：</w:t>
      </w:r>
      <w:r>
        <w:rPr>
          <w:rFonts w:hint="eastAsia" w:ascii="Calibri" w:hAnsi="Calibri"/>
          <w:bCs/>
          <w:szCs w:val="22"/>
        </w:rPr>
        <w:t>具备铁路电务工程专业承包二级及以上资质或按照《住房和城乡建设部关于建设工程企业资质管理制度改革方案的通知》（建市〔2020〕94 号）已完成换证工作的申请人投标人，铁路电务电气化工程专业承包乙级及以上资质。投标人需取得转辙机原厂厂家制造商的授权，如未能提供原厂授权，则须承诺中标后取得原厂厂家制造商的授权，否则招标人有资格取消中标资格。(提供授权书或承诺函)</w:t>
      </w:r>
      <w:r>
        <w:rPr>
          <w:rFonts w:ascii="Calibri" w:hAnsi="Calibri"/>
          <w:szCs w:val="22"/>
        </w:rPr>
        <w:t>。</w:t>
      </w:r>
    </w:p>
    <w:p>
      <w:pPr>
        <w:widowControl/>
        <w:autoSpaceDE w:val="0"/>
        <w:autoSpaceDN w:val="0"/>
        <w:spacing w:before="120"/>
        <w:ind w:left="420" w:firstLine="420"/>
        <w:textAlignment w:val="baseline"/>
      </w:pPr>
      <w:r>
        <w:rPr>
          <w:rFonts w:ascii="宋体" w:hAnsi="宋体"/>
          <w:szCs w:val="21"/>
        </w:rPr>
        <w:t>（2）</w:t>
      </w:r>
      <w:r>
        <w:rPr>
          <w:rFonts w:hint="eastAsia" w:ascii="宋体" w:hAnsi="宋体"/>
          <w:szCs w:val="21"/>
        </w:rPr>
        <w:t>业绩要求：</w:t>
      </w:r>
      <w:r>
        <w:t>近3年内完成或正在承担铁路工程项目或地铁或城市轨道交通类似工程项目，类似工程项目是指转辙机更换或安装业绩。需提供项目中标通知书或合同协议书、工程竣工验收证书（初验报告）、工程量清单（可节选）或业主方出具的业绩证明。</w:t>
      </w:r>
    </w:p>
    <w:p>
      <w:pPr>
        <w:widowControl/>
        <w:autoSpaceDE w:val="0"/>
        <w:autoSpaceDN w:val="0"/>
        <w:spacing w:before="120"/>
        <w:ind w:left="420" w:firstLine="420"/>
        <w:textAlignment w:val="baseline"/>
        <w:rPr>
          <w:rFonts w:ascii="Calibri" w:hAnsi="Calibri"/>
          <w:szCs w:val="22"/>
        </w:rPr>
      </w:pPr>
      <w:r>
        <w:rPr>
          <w:rFonts w:ascii="Calibri" w:hAnsi="Calibri"/>
          <w:szCs w:val="21"/>
        </w:rPr>
        <w:t>（3）项目经理：</w:t>
      </w:r>
      <w:r>
        <w:rPr>
          <w:rFonts w:ascii="Calibri" w:hAnsi="Calibri"/>
          <w:szCs w:val="22"/>
        </w:rPr>
        <w:t>具备铁路工程专业一级建造师注册证书，工程师及以上职称，3年及以上铁路工程项目或类似工程项目管理工作经验（担任过项目经理、副经理、技术负责人、项目管理机构部门负责人等职位均可），具有有效的安全生产考核合格证书;具有3年以上铁路营业线施工管理经验，良好的职业道德;递交投标文件之日起前3年内不曾有人民法院不曾有人民法院判决、裁定生效的行贿犯罪记录; 未在其他在建工程项目任职或虽在其他项目任职，但能够提供现任职建设单位（项目业主）的同意调离文件，并且与申请人具有有效的劳动和社保关系。</w:t>
      </w:r>
    </w:p>
    <w:p>
      <w:pPr>
        <w:widowControl/>
        <w:autoSpaceDE w:val="0"/>
        <w:autoSpaceDN w:val="0"/>
        <w:spacing w:before="120"/>
        <w:ind w:left="420" w:firstLine="420"/>
        <w:textAlignment w:val="baseline"/>
        <w:rPr>
          <w:rFonts w:ascii="Calibri" w:hAnsi="Calibri"/>
          <w:szCs w:val="22"/>
        </w:rPr>
      </w:pPr>
      <w:r>
        <w:rPr>
          <w:rFonts w:hint="eastAsia" w:ascii="Calibri" w:hAnsi="Calibri"/>
          <w:szCs w:val="21"/>
        </w:rPr>
        <w:t>技术负责人：</w:t>
      </w:r>
      <w:r>
        <w:rPr>
          <w:rFonts w:ascii="Calibri" w:hAnsi="Calibri"/>
          <w:szCs w:val="22"/>
        </w:rPr>
        <w:t>具有铁路信号专业工程师及以上职称，3 年及以上铁路工程项目或类似工程项目管理工作经验（担任过项目经理、副经理、技术负责人、项目组织机构部门负责人等职位均可），从事项目技术工作3年及以上，未在其他在建工程项目任职或虽在其他项目任职，但能够提供现任职建设单位（项目业主）的同意调离文件，并且与投标人具有有效的劳动和社保关系。</w:t>
      </w:r>
    </w:p>
    <w:p>
      <w:pPr>
        <w:widowControl/>
        <w:autoSpaceDE w:val="0"/>
        <w:autoSpaceDN w:val="0"/>
        <w:spacing w:before="120"/>
        <w:ind w:left="420" w:firstLine="420"/>
        <w:textAlignment w:val="baseline"/>
        <w:rPr>
          <w:rFonts w:ascii="Calibri" w:hAnsi="Calibri"/>
          <w:szCs w:val="21"/>
        </w:rPr>
      </w:pPr>
      <w:r>
        <w:rPr>
          <w:rFonts w:ascii="Calibri" w:hAnsi="Calibri"/>
          <w:szCs w:val="21"/>
        </w:rPr>
        <w:t>（4）本标段不接受联合体投标申请。联合体投标的，应满足下列要求：</w:t>
      </w:r>
      <w:r>
        <w:rPr>
          <w:rFonts w:hint="eastAsia" w:ascii="Calibri" w:hAnsi="Calibri"/>
          <w:szCs w:val="21"/>
          <w:u w:val="single"/>
        </w:rPr>
        <w:t xml:space="preserve">  /  </w:t>
      </w:r>
      <w:r>
        <w:rPr>
          <w:rFonts w:ascii="Calibri" w:hAnsi="Calibri"/>
          <w:szCs w:val="21"/>
        </w:rPr>
        <w:t>。</w:t>
      </w:r>
    </w:p>
    <w:p>
      <w:pPr>
        <w:adjustRightInd w:val="0"/>
        <w:spacing w:before="120"/>
        <w:ind w:left="420" w:right="-67" w:rightChars="-32" w:firstLine="422"/>
        <w:rPr>
          <w:rFonts w:ascii="Calibri" w:hAnsi="Calibri"/>
          <w:szCs w:val="21"/>
        </w:rPr>
      </w:pPr>
      <w:r>
        <w:rPr>
          <w:rFonts w:ascii="Calibri" w:hAnsi="Calibri"/>
          <w:b/>
          <w:szCs w:val="21"/>
        </w:rPr>
        <w:t xml:space="preserve">3.2 </w:t>
      </w:r>
      <w:r>
        <w:rPr>
          <w:rFonts w:ascii="Calibri" w:hAnsi="Calibri"/>
          <w:szCs w:val="21"/>
        </w:rPr>
        <w:t>各投标人可就上述标段中的</w:t>
      </w:r>
      <w:r>
        <w:rPr>
          <w:rFonts w:hint="eastAsia" w:ascii="Calibri" w:hAnsi="Calibri"/>
          <w:szCs w:val="21"/>
          <w:u w:val="single"/>
        </w:rPr>
        <w:t xml:space="preserve">  1  </w:t>
      </w:r>
      <w:r>
        <w:rPr>
          <w:rFonts w:ascii="Calibri" w:hAnsi="Calibri"/>
          <w:szCs w:val="21"/>
        </w:rPr>
        <w:t>个标段进行投标。</w:t>
      </w:r>
    </w:p>
    <w:p>
      <w:pPr>
        <w:adjustRightInd w:val="0"/>
        <w:snapToGrid w:val="0"/>
        <w:spacing w:before="120"/>
        <w:ind w:left="420" w:firstLine="422"/>
        <w:rPr>
          <w:rFonts w:ascii="Calibri" w:hAnsi="Calibri"/>
          <w:szCs w:val="22"/>
        </w:rPr>
      </w:pPr>
      <w:r>
        <w:rPr>
          <w:rFonts w:ascii="Calibri" w:hAnsi="Calibri"/>
          <w:b/>
          <w:szCs w:val="21"/>
        </w:rPr>
        <w:t>3.</w:t>
      </w:r>
      <w:r>
        <w:rPr>
          <w:rFonts w:hint="eastAsia" w:ascii="Calibri" w:hAnsi="Calibri"/>
          <w:b/>
          <w:szCs w:val="21"/>
        </w:rPr>
        <w:t xml:space="preserve">3 </w:t>
      </w:r>
      <w:r>
        <w:rPr>
          <w:rFonts w:ascii="宋体" w:hAnsi="宋体"/>
          <w:szCs w:val="22"/>
        </w:rPr>
        <w:t>投标人未在“信用中国”网站（www.creditchina.gov.cn）中被</w:t>
      </w:r>
      <w:r>
        <w:rPr>
          <w:rFonts w:ascii="宋体" w:hAnsi="宋体"/>
          <w:szCs w:val="21"/>
        </w:rPr>
        <w:t>列入失信被执行人名单，</w:t>
      </w:r>
      <w:r>
        <w:rPr>
          <w:rFonts w:ascii="宋体" w:hAnsi="宋体"/>
          <w:szCs w:val="22"/>
        </w:rPr>
        <w:t>投标人未在国家企业信用信息公示系统（www.gsxt.gov.cn）中被</w:t>
      </w:r>
      <w:r>
        <w:rPr>
          <w:rFonts w:ascii="宋体" w:hAnsi="宋体"/>
          <w:szCs w:val="21"/>
        </w:rPr>
        <w:t>列入严重违法失信企业名单，</w:t>
      </w:r>
      <w:r>
        <w:rPr>
          <w:rFonts w:ascii="宋体" w:hAnsi="宋体"/>
          <w:szCs w:val="22"/>
        </w:rPr>
        <w:t>投标人未被列入</w:t>
      </w:r>
      <w:r>
        <w:rPr>
          <w:rFonts w:ascii="宋体" w:hAnsi="宋体"/>
          <w:szCs w:val="21"/>
        </w:rPr>
        <w:t>铁路工程建设失信行为“黑名单”，</w:t>
      </w:r>
      <w:r>
        <w:rPr>
          <w:rFonts w:ascii="宋体" w:hAnsi="宋体"/>
          <w:szCs w:val="22"/>
        </w:rPr>
        <w:t>投标人及其法定代表人、拟委派的项目经理在近3年不曾有行贿犯罪记录；</w:t>
      </w:r>
      <w:bookmarkStart w:id="36" w:name="_Toc277917506"/>
      <w:bookmarkStart w:id="37" w:name="_Toc210355362"/>
      <w:bookmarkStart w:id="38" w:name="_Toc53589645"/>
      <w:bookmarkStart w:id="39" w:name="_Toc476160812"/>
      <w:bookmarkStart w:id="40" w:name="_Toc210364686"/>
      <w:bookmarkStart w:id="41" w:name="_Toc210327500"/>
      <w:bookmarkStart w:id="42" w:name="_Toc276714875"/>
    </w:p>
    <w:p>
      <w:pPr>
        <w:spacing w:before="120"/>
        <w:ind w:left="420" w:right="47" w:firstLine="420"/>
        <w:rPr>
          <w:rFonts w:ascii="Calibri" w:hAnsi="Calibri"/>
          <w:szCs w:val="22"/>
        </w:rPr>
      </w:pPr>
      <w:r>
        <w:rPr>
          <w:rFonts w:ascii="Calibri" w:hAnsi="Calibri"/>
          <w:szCs w:val="22"/>
        </w:rPr>
        <w:t>其他信誉要求：</w:t>
      </w:r>
      <w:bookmarkStart w:id="43" w:name="_Toc83633440"/>
      <w:r>
        <w:rPr>
          <w:rFonts w:ascii="Calibri" w:hAnsi="Calibri"/>
          <w:szCs w:val="22"/>
        </w:rPr>
        <w:t>具有认证机构认证的质量管理体系认证证书、环境管理体系认证证书、职业健康安全管理体系认证证书；未被取消或暂停投标资格、未在国铁集团或铁道行业建设主管部门通报的停标处罚期内；未在广州局集团通报的停标处罚期内；不存在最近一期施工企业信用评价为C级且在整改期内的情形；没有其他被法律所禁止参加投标活动的。</w:t>
      </w:r>
    </w:p>
    <w:p>
      <w:pPr>
        <w:spacing w:before="120"/>
        <w:ind w:left="420" w:right="47" w:firstLine="560"/>
        <w:rPr>
          <w:rFonts w:ascii="Calibri" w:hAnsi="Calibri"/>
          <w:szCs w:val="22"/>
        </w:rPr>
      </w:pPr>
      <w:r>
        <w:rPr>
          <w:rFonts w:ascii="黑体" w:hAnsi="Calibri" w:eastAsia="黑体" w:cs="宋体"/>
          <w:kern w:val="20"/>
          <w:sz w:val="28"/>
          <w:szCs w:val="28"/>
        </w:rPr>
        <w:t>4.招标文件的获取</w:t>
      </w:r>
      <w:bookmarkEnd w:id="36"/>
      <w:bookmarkEnd w:id="37"/>
      <w:bookmarkEnd w:id="38"/>
      <w:bookmarkEnd w:id="39"/>
      <w:bookmarkEnd w:id="40"/>
      <w:bookmarkEnd w:id="41"/>
      <w:bookmarkEnd w:id="42"/>
      <w:bookmarkEnd w:id="43"/>
    </w:p>
    <w:p>
      <w:pPr>
        <w:spacing w:before="120" w:line="320" w:lineRule="exact"/>
        <w:ind w:left="420" w:firstLine="420"/>
        <w:outlineLvl w:val="0"/>
        <w:rPr>
          <w:rFonts w:ascii="Calibri" w:hAnsi="Calibri"/>
          <w:szCs w:val="21"/>
        </w:rPr>
      </w:pPr>
      <w:bookmarkStart w:id="44" w:name="_Toc81579422"/>
      <w:bookmarkStart w:id="45" w:name="_Toc83633441"/>
      <w:bookmarkStart w:id="46" w:name="_Toc276714876"/>
      <w:bookmarkStart w:id="47" w:name="_Toc277917507"/>
      <w:r>
        <w:rPr>
          <w:rFonts w:ascii="宋体" w:hAnsi="宋体"/>
          <w:szCs w:val="21"/>
        </w:rPr>
        <w:t xml:space="preserve">4.1 </w:t>
      </w:r>
      <w:r>
        <w:rPr>
          <w:rFonts w:ascii="Calibri" w:hAnsi="Calibri"/>
          <w:szCs w:val="21"/>
        </w:rPr>
        <w:t>请投标人</w:t>
      </w:r>
      <w:r>
        <w:rPr>
          <w:rFonts w:ascii="宋体" w:hAnsi="宋体"/>
          <w:szCs w:val="21"/>
        </w:rPr>
        <w:t>于</w:t>
      </w:r>
      <w:r>
        <w:rPr>
          <w:rFonts w:hint="eastAsia" w:ascii="宋体" w:hAnsi="宋体"/>
          <w:szCs w:val="21"/>
          <w:u w:val="single"/>
        </w:rPr>
        <w:t>202</w:t>
      </w:r>
      <w:r>
        <w:rPr>
          <w:rFonts w:ascii="宋体" w:hAnsi="宋体"/>
          <w:szCs w:val="21"/>
          <w:u w:val="single"/>
        </w:rPr>
        <w:t>2</w:t>
      </w:r>
      <w:r>
        <w:rPr>
          <w:rFonts w:ascii="宋体" w:hAnsi="宋体"/>
          <w:szCs w:val="21"/>
        </w:rPr>
        <w:t>年</w:t>
      </w:r>
      <w:r>
        <w:rPr>
          <w:rFonts w:ascii="宋体" w:hAnsi="宋体"/>
          <w:szCs w:val="21"/>
          <w:u w:val="single"/>
        </w:rPr>
        <w:t>11</w:t>
      </w:r>
      <w:r>
        <w:rPr>
          <w:rFonts w:ascii="宋体" w:hAnsi="宋体"/>
          <w:szCs w:val="21"/>
        </w:rPr>
        <w:t>月</w:t>
      </w:r>
      <w:r>
        <w:rPr>
          <w:rFonts w:ascii="宋体" w:hAnsi="宋体"/>
          <w:szCs w:val="21"/>
          <w:u w:val="single"/>
        </w:rPr>
        <w:t>2</w:t>
      </w:r>
      <w:r>
        <w:rPr>
          <w:rFonts w:ascii="宋体" w:hAnsi="宋体"/>
          <w:szCs w:val="21"/>
        </w:rPr>
        <w:t>日</w:t>
      </w:r>
      <w:r>
        <w:rPr>
          <w:rFonts w:hint="eastAsia" w:ascii="宋体" w:hAnsi="宋体"/>
          <w:szCs w:val="21"/>
          <w:u w:val="single"/>
        </w:rPr>
        <w:t>9</w:t>
      </w:r>
      <w:r>
        <w:rPr>
          <w:rFonts w:hint="eastAsia" w:ascii="宋体" w:hAnsi="宋体"/>
          <w:szCs w:val="21"/>
        </w:rPr>
        <w:t>时</w:t>
      </w:r>
      <w:r>
        <w:rPr>
          <w:rFonts w:hint="eastAsia" w:ascii="宋体" w:hAnsi="宋体"/>
          <w:szCs w:val="21"/>
          <w:u w:val="single"/>
        </w:rPr>
        <w:t>00</w:t>
      </w:r>
      <w:r>
        <w:rPr>
          <w:rFonts w:hint="eastAsia" w:ascii="宋体" w:hAnsi="宋体"/>
          <w:szCs w:val="21"/>
        </w:rPr>
        <w:t>分至</w:t>
      </w:r>
      <w:r>
        <w:rPr>
          <w:rFonts w:hint="eastAsia" w:ascii="宋体" w:hAnsi="宋体"/>
          <w:szCs w:val="21"/>
          <w:u w:val="single"/>
        </w:rPr>
        <w:t>202</w:t>
      </w:r>
      <w:r>
        <w:rPr>
          <w:rFonts w:ascii="宋体" w:hAnsi="宋体"/>
          <w:szCs w:val="21"/>
          <w:u w:val="single"/>
        </w:rPr>
        <w:t>2</w:t>
      </w:r>
      <w:r>
        <w:rPr>
          <w:rFonts w:ascii="宋体" w:hAnsi="宋体"/>
          <w:szCs w:val="21"/>
        </w:rPr>
        <w:t>年</w:t>
      </w:r>
      <w:r>
        <w:rPr>
          <w:rFonts w:ascii="宋体" w:hAnsi="宋体"/>
          <w:szCs w:val="21"/>
          <w:u w:val="single"/>
        </w:rPr>
        <w:t>11</w:t>
      </w:r>
      <w:r>
        <w:rPr>
          <w:rFonts w:ascii="宋体" w:hAnsi="宋体"/>
          <w:szCs w:val="21"/>
        </w:rPr>
        <w:t>月</w:t>
      </w:r>
      <w:r>
        <w:rPr>
          <w:rFonts w:ascii="宋体" w:hAnsi="宋体"/>
          <w:szCs w:val="21"/>
          <w:u w:val="single"/>
        </w:rPr>
        <w:t>7</w:t>
      </w:r>
      <w:r>
        <w:rPr>
          <w:rFonts w:ascii="宋体" w:hAnsi="宋体"/>
          <w:szCs w:val="21"/>
        </w:rPr>
        <w:t>日</w:t>
      </w:r>
      <w:r>
        <w:rPr>
          <w:rFonts w:hint="eastAsia" w:ascii="宋体" w:hAnsi="宋体"/>
          <w:szCs w:val="21"/>
          <w:u w:val="single"/>
        </w:rPr>
        <w:t>16</w:t>
      </w:r>
      <w:r>
        <w:rPr>
          <w:rFonts w:hint="eastAsia" w:ascii="宋体" w:hAnsi="宋体"/>
          <w:szCs w:val="21"/>
        </w:rPr>
        <w:t>时</w:t>
      </w:r>
      <w:r>
        <w:rPr>
          <w:rFonts w:hint="eastAsia" w:ascii="宋体" w:hAnsi="宋体"/>
          <w:szCs w:val="21"/>
          <w:u w:val="single"/>
        </w:rPr>
        <w:t>00</w:t>
      </w:r>
      <w:r>
        <w:rPr>
          <w:rFonts w:hint="eastAsia" w:ascii="宋体" w:hAnsi="宋体"/>
          <w:szCs w:val="21"/>
        </w:rPr>
        <w:t>分</w:t>
      </w:r>
      <w:r>
        <w:rPr>
          <w:rFonts w:ascii="宋体" w:hAnsi="宋体"/>
          <w:szCs w:val="21"/>
        </w:rPr>
        <w:t>（北京时间，下同）</w:t>
      </w:r>
      <w:r>
        <w:rPr>
          <w:rFonts w:hint="eastAsia" w:ascii="宋体" w:hAnsi="宋体"/>
          <w:szCs w:val="21"/>
        </w:rPr>
        <w:t>，登录广州公共资源交易中心网站</w:t>
      </w:r>
      <w:r>
        <w:rPr>
          <w:rFonts w:ascii="宋体" w:hAnsi="宋体"/>
          <w:szCs w:val="21"/>
        </w:rPr>
        <w:t>（http://www.gzggzy.cn/）</w:t>
      </w:r>
      <w:r>
        <w:rPr>
          <w:rFonts w:ascii="Calibri" w:hAnsi="Calibri"/>
          <w:szCs w:val="21"/>
        </w:rPr>
        <w:t>下载电子招标文件。</w:t>
      </w:r>
      <w:bookmarkEnd w:id="44"/>
      <w:bookmarkEnd w:id="45"/>
    </w:p>
    <w:p>
      <w:pPr>
        <w:spacing w:before="120" w:line="320" w:lineRule="exact"/>
        <w:ind w:left="420" w:firstLine="420"/>
        <w:rPr>
          <w:rFonts w:ascii="宋体" w:hAnsi="宋体"/>
          <w:szCs w:val="21"/>
        </w:rPr>
      </w:pPr>
      <w:r>
        <w:rPr>
          <w:rFonts w:hint="eastAsia" w:ascii="Calibri" w:hAnsi="Calibri"/>
          <w:szCs w:val="22"/>
        </w:rPr>
        <w:t>下载电子招标文件需要说明的有关事宜具体为：通过广州公共资源交易中心网上进行单位相关信息录入登记，同时将汇款凭证的彩色盖章扫描件发送到crmscgz03@163.com，此为获取招标文件确认的重要依据。登记成功并经确认后，通过广州公共资源交易中心网站（http://www.gzggzy.cn/）下载招标文件等资料。投标人在购买招标文件前应先在广州公共资源交易中心办理企业信息登记及电子签章，办理详情参见广州公共资源交易网站（http://www.gzggzy.cn）服务指南栏目。</w:t>
      </w:r>
    </w:p>
    <w:p>
      <w:pPr>
        <w:spacing w:before="120" w:line="320" w:lineRule="exact"/>
        <w:ind w:left="420" w:firstLine="420"/>
        <w:rPr>
          <w:rFonts w:ascii="宋体" w:hAnsi="宋体"/>
          <w:szCs w:val="21"/>
        </w:rPr>
      </w:pPr>
      <w:r>
        <w:rPr>
          <w:rFonts w:hint="eastAsia" w:ascii="宋体" w:hAnsi="宋体"/>
          <w:szCs w:val="21"/>
        </w:rPr>
        <w:t>4.2招标文件每个标段售价500元人民币，售后不退。投标人须在购买招标文件前将招标文件款电汇、网汇（不接受个人汇款）至下述指定账号，同时须在汇款单据上注明招标编号及购买标段号。投标人拟申请多个标段的，必须分别购买多个标段的招标文件。</w:t>
      </w:r>
      <w:r>
        <w:rPr>
          <w:rFonts w:hint="eastAsia" w:ascii="宋体" w:hAnsi="宋体"/>
          <w:b/>
          <w:szCs w:val="21"/>
        </w:rPr>
        <w:t>招标文件发票获取：</w:t>
      </w:r>
      <w:r>
        <w:rPr>
          <w:rFonts w:ascii="宋体" w:hAnsi="宋体"/>
          <w:b/>
          <w:szCs w:val="21"/>
        </w:rPr>
        <w:t>投标人</w:t>
      </w:r>
      <w:r>
        <w:rPr>
          <w:rFonts w:hint="eastAsia" w:ascii="宋体" w:hAnsi="宋体"/>
          <w:b/>
          <w:szCs w:val="21"/>
        </w:rPr>
        <w:t>购买招标文件前须在中国铁物电子招投标平台（</w:t>
      </w:r>
      <w:r>
        <w:rPr>
          <w:rFonts w:ascii="宋体" w:hAnsi="宋体"/>
          <w:b/>
          <w:szCs w:val="21"/>
        </w:rPr>
        <w:t>http://www.bidding-crmsc.com.cn</w:t>
      </w:r>
      <w:r>
        <w:rPr>
          <w:rFonts w:hint="eastAsia" w:ascii="宋体" w:hAnsi="宋体"/>
          <w:b/>
          <w:szCs w:val="21"/>
        </w:rPr>
        <w:t>）完成注册。</w:t>
      </w:r>
      <w:r>
        <w:rPr>
          <w:rFonts w:hint="eastAsia" w:ascii="宋体" w:hAnsi="宋体"/>
          <w:szCs w:val="21"/>
        </w:rPr>
        <w:t>注册审核通过后，招标代理将按照“系统管理”公司信息中供应商录入的开票信息开具标书款发票（供应商须及时更新公司信息），待开具成功后，</w:t>
      </w:r>
      <w:r>
        <w:rPr>
          <w:rFonts w:ascii="宋体" w:hAnsi="宋体"/>
          <w:szCs w:val="21"/>
        </w:rPr>
        <w:t>投标人</w:t>
      </w:r>
      <w:r>
        <w:rPr>
          <w:rFonts w:hint="eastAsia" w:ascii="宋体" w:hAnsi="宋体"/>
          <w:szCs w:val="21"/>
        </w:rPr>
        <w:t>通过“投标管理”中“电票下载”自行下载标书款发票。详细步骤请参考登录页面的《使用手册》。</w:t>
      </w:r>
    </w:p>
    <w:bookmarkEnd w:id="46"/>
    <w:bookmarkEnd w:id="47"/>
    <w:p>
      <w:pPr>
        <w:spacing w:before="120" w:line="320" w:lineRule="exact"/>
        <w:ind w:left="420" w:firstLine="422"/>
        <w:rPr>
          <w:rFonts w:ascii="宋体" w:hAnsi="宋体"/>
          <w:b/>
          <w:szCs w:val="21"/>
        </w:rPr>
      </w:pPr>
      <w:r>
        <w:rPr>
          <w:rFonts w:hint="eastAsia" w:ascii="宋体" w:hAnsi="宋体"/>
          <w:b/>
          <w:szCs w:val="21"/>
        </w:rPr>
        <w:t>招标代理账号：</w:t>
      </w:r>
    </w:p>
    <w:p>
      <w:pPr>
        <w:spacing w:before="120" w:line="320" w:lineRule="exact"/>
        <w:ind w:left="420" w:firstLine="420"/>
        <w:rPr>
          <w:rFonts w:ascii="宋体" w:hAnsi="宋体"/>
          <w:szCs w:val="21"/>
        </w:rPr>
      </w:pPr>
      <w:r>
        <w:rPr>
          <w:rFonts w:hint="eastAsia" w:ascii="宋体" w:hAnsi="宋体"/>
          <w:szCs w:val="21"/>
        </w:rPr>
        <w:t>开户银行：</w:t>
      </w:r>
      <w:r>
        <w:rPr>
          <w:rFonts w:hint="eastAsia" w:ascii="宋体" w:hAnsi="宋体"/>
          <w:szCs w:val="21"/>
          <w:shd w:val="clear" w:color="auto" w:fill="FFFFFF"/>
        </w:rPr>
        <w:t>交通银行北京西单支行</w:t>
      </w:r>
    </w:p>
    <w:p>
      <w:pPr>
        <w:spacing w:before="120" w:line="320" w:lineRule="exact"/>
        <w:ind w:left="420" w:firstLine="420"/>
        <w:rPr>
          <w:rFonts w:ascii="宋体" w:hAnsi="宋体"/>
          <w:szCs w:val="21"/>
        </w:rPr>
      </w:pPr>
      <w:r>
        <w:rPr>
          <w:rFonts w:hint="eastAsia" w:ascii="宋体" w:hAnsi="宋体"/>
          <w:szCs w:val="21"/>
        </w:rPr>
        <w:t>开户名称：中铁物总国际招标有限公司</w:t>
      </w:r>
    </w:p>
    <w:p>
      <w:pPr>
        <w:spacing w:before="120" w:line="320" w:lineRule="exact"/>
        <w:ind w:left="420" w:firstLine="420"/>
        <w:rPr>
          <w:rFonts w:ascii="宋体" w:hAnsi="宋体"/>
          <w:sz w:val="22"/>
          <w:szCs w:val="21"/>
        </w:rPr>
      </w:pPr>
      <w:r>
        <w:rPr>
          <w:rFonts w:hint="eastAsia" w:ascii="宋体" w:hAnsi="宋体"/>
          <w:szCs w:val="21"/>
        </w:rPr>
        <w:t>账号：</w:t>
      </w:r>
      <w:bookmarkStart w:id="48" w:name="_Toc453463120"/>
      <w:bookmarkStart w:id="49" w:name="_Toc471676972"/>
      <w:bookmarkStart w:id="50" w:name="_Toc466420076"/>
      <w:bookmarkStart w:id="51" w:name="_Toc476160813"/>
      <w:bookmarkStart w:id="52" w:name="_Toc470694709"/>
      <w:r>
        <w:rPr>
          <w:rFonts w:hint="eastAsia" w:ascii="宋体" w:hAnsi="宋体"/>
          <w:sz w:val="22"/>
          <w:szCs w:val="21"/>
        </w:rPr>
        <w:t>7005007</w:t>
      </w:r>
    </w:p>
    <w:p>
      <w:pPr>
        <w:spacing w:before="120" w:line="320" w:lineRule="exact"/>
        <w:ind w:left="420" w:firstLine="420"/>
        <w:rPr>
          <w:rFonts w:ascii="宋体" w:hAnsi="宋体"/>
          <w:szCs w:val="21"/>
        </w:rPr>
      </w:pPr>
      <w:r>
        <w:rPr>
          <w:rFonts w:hint="eastAsia" w:ascii="宋体" w:hAnsi="宋体"/>
          <w:szCs w:val="21"/>
        </w:rPr>
        <w:t>4.3本次招标文件获取仅采用网上形式，不采用现场发售、邮购等方式进行。</w:t>
      </w:r>
      <w:bookmarkEnd w:id="48"/>
      <w:bookmarkEnd w:id="49"/>
      <w:bookmarkEnd w:id="50"/>
      <w:bookmarkEnd w:id="51"/>
      <w:bookmarkEnd w:id="52"/>
    </w:p>
    <w:p>
      <w:pPr>
        <w:spacing w:before="120" w:line="320" w:lineRule="exact"/>
        <w:ind w:left="420" w:firstLine="420"/>
        <w:rPr>
          <w:rFonts w:ascii="宋体" w:hAnsi="宋体"/>
          <w:szCs w:val="21"/>
        </w:rPr>
      </w:pPr>
      <w:r>
        <w:rPr>
          <w:rFonts w:hint="eastAsia" w:ascii="宋体" w:hAnsi="宋体"/>
          <w:szCs w:val="21"/>
        </w:rPr>
        <w:t>4.4原已购买招标文件的投标人，如继续参加本次投标，请于本次招标文件发售时间内，进行线上购买招标文件，并根据招标公告4.1要求将资料发送至招标代理邮箱，无须再次缴纳标书款费用，免费更换招标文件。</w:t>
      </w:r>
    </w:p>
    <w:p>
      <w:pPr>
        <w:autoSpaceDE w:val="0"/>
        <w:autoSpaceDN w:val="0"/>
        <w:adjustRightInd w:val="0"/>
        <w:spacing w:before="120" w:after="60" w:line="400" w:lineRule="exact"/>
        <w:ind w:left="420" w:firstLine="560"/>
        <w:textAlignment w:val="baseline"/>
        <w:outlineLvl w:val="0"/>
        <w:rPr>
          <w:rFonts w:ascii="黑体" w:hAnsi="Calibri" w:eastAsia="黑体" w:cs="宋体"/>
          <w:kern w:val="20"/>
          <w:sz w:val="28"/>
          <w:szCs w:val="28"/>
        </w:rPr>
      </w:pPr>
      <w:bookmarkStart w:id="53" w:name="_Toc210355363"/>
      <w:bookmarkStart w:id="54" w:name="_Toc53589646"/>
      <w:bookmarkStart w:id="55" w:name="_Toc277917508"/>
      <w:bookmarkStart w:id="56" w:name="_Toc210364687"/>
      <w:bookmarkStart w:id="57" w:name="_Toc276714877"/>
      <w:bookmarkStart w:id="58" w:name="_Toc210327501"/>
      <w:bookmarkStart w:id="59" w:name="_Toc476160814"/>
      <w:bookmarkStart w:id="60" w:name="_Toc83633442"/>
      <w:r>
        <w:rPr>
          <w:rFonts w:ascii="黑体" w:hAnsi="Calibri" w:eastAsia="黑体" w:cs="宋体"/>
          <w:kern w:val="20"/>
          <w:sz w:val="28"/>
          <w:szCs w:val="28"/>
        </w:rPr>
        <w:t>5.投标文件的递交</w:t>
      </w:r>
      <w:bookmarkEnd w:id="53"/>
      <w:bookmarkEnd w:id="54"/>
      <w:bookmarkEnd w:id="55"/>
      <w:bookmarkEnd w:id="56"/>
      <w:bookmarkEnd w:id="57"/>
      <w:bookmarkEnd w:id="58"/>
      <w:bookmarkEnd w:id="59"/>
      <w:bookmarkEnd w:id="60"/>
    </w:p>
    <w:p>
      <w:pPr>
        <w:spacing w:before="120" w:line="400" w:lineRule="exact"/>
        <w:ind w:left="420" w:firstLine="420"/>
        <w:jc w:val="left"/>
        <w:outlineLvl w:val="0"/>
        <w:rPr>
          <w:rFonts w:ascii="宋体" w:hAnsi="宋体"/>
          <w:szCs w:val="21"/>
        </w:rPr>
      </w:pPr>
      <w:bookmarkStart w:id="61" w:name="_Toc53584092"/>
      <w:bookmarkStart w:id="62" w:name="_Toc53589647"/>
      <w:bookmarkStart w:id="63" w:name="_Toc83633443"/>
      <w:bookmarkStart w:id="64" w:name="_Toc81579424"/>
      <w:bookmarkStart w:id="65" w:name="_Toc210327502"/>
      <w:bookmarkStart w:id="66" w:name="_Toc210355364"/>
      <w:bookmarkStart w:id="67" w:name="_Toc277917509"/>
      <w:bookmarkStart w:id="68" w:name="_Toc276714878"/>
      <w:bookmarkStart w:id="69" w:name="_Toc210364688"/>
      <w:r>
        <w:rPr>
          <w:rFonts w:ascii="宋体" w:hAnsi="宋体"/>
          <w:szCs w:val="21"/>
        </w:rPr>
        <w:t xml:space="preserve">5.1 </w:t>
      </w:r>
      <w:bookmarkEnd w:id="61"/>
      <w:bookmarkEnd w:id="62"/>
      <w:r>
        <w:rPr>
          <w:rFonts w:ascii="宋体" w:hAnsi="宋体"/>
          <w:szCs w:val="21"/>
        </w:rPr>
        <w:t>投标文件</w:t>
      </w:r>
      <w:r>
        <w:rPr>
          <w:rFonts w:ascii="Calibri" w:hAnsi="Calibri"/>
          <w:szCs w:val="21"/>
        </w:rPr>
        <w:t>提交</w:t>
      </w:r>
      <w:r>
        <w:rPr>
          <w:rFonts w:ascii="宋体" w:hAnsi="宋体"/>
          <w:szCs w:val="21"/>
        </w:rPr>
        <w:t>的时间为</w:t>
      </w:r>
      <w:r>
        <w:rPr>
          <w:rFonts w:hint="eastAsia" w:ascii="宋体" w:hAnsi="宋体"/>
          <w:szCs w:val="21"/>
          <w:u w:val="single"/>
        </w:rPr>
        <w:t>202</w:t>
      </w:r>
      <w:r>
        <w:rPr>
          <w:rFonts w:ascii="宋体" w:hAnsi="宋体"/>
          <w:szCs w:val="21"/>
          <w:u w:val="single"/>
        </w:rPr>
        <w:t>2</w:t>
      </w:r>
      <w:r>
        <w:rPr>
          <w:rFonts w:ascii="宋体" w:hAnsi="宋体"/>
          <w:szCs w:val="21"/>
        </w:rPr>
        <w:t>年</w:t>
      </w:r>
      <w:r>
        <w:rPr>
          <w:rFonts w:ascii="宋体" w:hAnsi="宋体"/>
          <w:szCs w:val="21"/>
          <w:u w:val="single"/>
        </w:rPr>
        <w:t>11</w:t>
      </w:r>
      <w:r>
        <w:rPr>
          <w:rFonts w:ascii="宋体" w:hAnsi="宋体"/>
          <w:szCs w:val="21"/>
        </w:rPr>
        <w:t>月</w:t>
      </w:r>
      <w:r>
        <w:rPr>
          <w:rFonts w:ascii="宋体" w:hAnsi="宋体"/>
          <w:szCs w:val="21"/>
          <w:u w:val="single"/>
        </w:rPr>
        <w:t>24</w:t>
      </w:r>
      <w:r>
        <w:rPr>
          <w:rFonts w:ascii="宋体" w:hAnsi="宋体"/>
          <w:szCs w:val="21"/>
        </w:rPr>
        <w:t>日</w:t>
      </w:r>
      <w:r>
        <w:rPr>
          <w:rFonts w:hint="eastAsia" w:ascii="宋体" w:hAnsi="宋体"/>
          <w:szCs w:val="21"/>
          <w:u w:val="single"/>
        </w:rPr>
        <w:t xml:space="preserve"> 0</w:t>
      </w:r>
      <w:r>
        <w:rPr>
          <w:rFonts w:ascii="宋体" w:hAnsi="宋体"/>
          <w:szCs w:val="21"/>
          <w:u w:val="single"/>
        </w:rPr>
        <w:t>9</w:t>
      </w:r>
      <w:r>
        <w:rPr>
          <w:rFonts w:ascii="宋体" w:hAnsi="宋体"/>
          <w:szCs w:val="21"/>
        </w:rPr>
        <w:t>时</w:t>
      </w:r>
      <w:r>
        <w:rPr>
          <w:rFonts w:hint="eastAsia" w:ascii="宋体" w:hAnsi="宋体"/>
          <w:szCs w:val="21"/>
          <w:u w:val="single"/>
        </w:rPr>
        <w:t>00</w:t>
      </w:r>
      <w:r>
        <w:rPr>
          <w:rFonts w:ascii="宋体" w:hAnsi="宋体"/>
          <w:szCs w:val="21"/>
        </w:rPr>
        <w:t>分至</w:t>
      </w:r>
      <w:r>
        <w:rPr>
          <w:rFonts w:hint="eastAsia" w:ascii="宋体" w:hAnsi="宋体"/>
          <w:szCs w:val="21"/>
          <w:u w:val="single"/>
        </w:rPr>
        <w:t>202</w:t>
      </w:r>
      <w:r>
        <w:rPr>
          <w:rFonts w:ascii="宋体" w:hAnsi="宋体"/>
          <w:szCs w:val="21"/>
          <w:u w:val="single"/>
        </w:rPr>
        <w:t>2</w:t>
      </w:r>
      <w:r>
        <w:rPr>
          <w:rFonts w:ascii="宋体" w:hAnsi="宋体"/>
          <w:szCs w:val="21"/>
        </w:rPr>
        <w:t>年</w:t>
      </w:r>
      <w:r>
        <w:rPr>
          <w:rFonts w:ascii="宋体" w:hAnsi="宋体"/>
          <w:szCs w:val="21"/>
          <w:u w:val="single"/>
        </w:rPr>
        <w:t>11</w:t>
      </w:r>
      <w:r>
        <w:rPr>
          <w:rFonts w:ascii="宋体" w:hAnsi="宋体"/>
          <w:szCs w:val="21"/>
        </w:rPr>
        <w:t>月</w:t>
      </w:r>
      <w:r>
        <w:rPr>
          <w:rFonts w:ascii="宋体" w:hAnsi="宋体"/>
          <w:szCs w:val="21"/>
          <w:u w:val="single"/>
        </w:rPr>
        <w:t>24</w:t>
      </w:r>
      <w:r>
        <w:rPr>
          <w:rFonts w:ascii="宋体" w:hAnsi="宋体"/>
          <w:szCs w:val="21"/>
        </w:rPr>
        <w:t>日</w:t>
      </w:r>
      <w:r>
        <w:rPr>
          <w:rFonts w:hint="eastAsia" w:ascii="宋体" w:hAnsi="宋体"/>
          <w:szCs w:val="21"/>
          <w:u w:val="single"/>
        </w:rPr>
        <w:t>10</w:t>
      </w:r>
      <w:r>
        <w:rPr>
          <w:rFonts w:ascii="宋体" w:hAnsi="宋体"/>
          <w:szCs w:val="21"/>
        </w:rPr>
        <w:t>时</w:t>
      </w:r>
      <w:r>
        <w:rPr>
          <w:rFonts w:hint="eastAsia" w:ascii="宋体" w:hAnsi="宋体"/>
          <w:szCs w:val="21"/>
          <w:u w:val="single"/>
        </w:rPr>
        <w:t>00</w:t>
      </w:r>
      <w:r>
        <w:rPr>
          <w:rFonts w:ascii="宋体" w:hAnsi="宋体"/>
          <w:szCs w:val="21"/>
        </w:rPr>
        <w:t>分，</w:t>
      </w:r>
      <w:r>
        <w:rPr>
          <w:rFonts w:ascii="Calibri" w:hAnsi="Calibri"/>
          <w:szCs w:val="21"/>
        </w:rPr>
        <w:t>截止时间</w:t>
      </w:r>
      <w:r>
        <w:rPr>
          <w:rFonts w:ascii="Calibri" w:hAnsi="Calibri"/>
          <w:szCs w:val="22"/>
        </w:rPr>
        <w:t>（投标截止时间，下同）</w:t>
      </w:r>
      <w:r>
        <w:rPr>
          <w:rFonts w:ascii="宋体" w:hAnsi="宋体"/>
          <w:szCs w:val="21"/>
        </w:rPr>
        <w:t>为</w:t>
      </w:r>
      <w:r>
        <w:rPr>
          <w:rFonts w:hint="eastAsia" w:ascii="宋体" w:hAnsi="宋体"/>
          <w:szCs w:val="21"/>
          <w:u w:val="single"/>
        </w:rPr>
        <w:t>202</w:t>
      </w:r>
      <w:r>
        <w:rPr>
          <w:rFonts w:ascii="宋体" w:hAnsi="宋体"/>
          <w:szCs w:val="21"/>
          <w:u w:val="single"/>
        </w:rPr>
        <w:t>2</w:t>
      </w:r>
      <w:r>
        <w:rPr>
          <w:rFonts w:ascii="宋体" w:hAnsi="宋体"/>
          <w:szCs w:val="21"/>
        </w:rPr>
        <w:t>年</w:t>
      </w:r>
      <w:r>
        <w:rPr>
          <w:rFonts w:ascii="宋体" w:hAnsi="宋体"/>
          <w:szCs w:val="21"/>
          <w:u w:val="single"/>
        </w:rPr>
        <w:t>11</w:t>
      </w:r>
      <w:r>
        <w:rPr>
          <w:rFonts w:ascii="宋体" w:hAnsi="宋体"/>
          <w:szCs w:val="21"/>
        </w:rPr>
        <w:t>月</w:t>
      </w:r>
      <w:r>
        <w:rPr>
          <w:rFonts w:ascii="宋体" w:hAnsi="宋体"/>
          <w:szCs w:val="21"/>
          <w:u w:val="single"/>
        </w:rPr>
        <w:t>24</w:t>
      </w:r>
      <w:r>
        <w:rPr>
          <w:rFonts w:ascii="宋体" w:hAnsi="宋体"/>
          <w:szCs w:val="21"/>
        </w:rPr>
        <w:t>日</w:t>
      </w:r>
      <w:r>
        <w:rPr>
          <w:rFonts w:hint="eastAsia" w:ascii="宋体" w:hAnsi="宋体"/>
          <w:szCs w:val="21"/>
          <w:u w:val="single"/>
        </w:rPr>
        <w:t>10</w:t>
      </w:r>
      <w:r>
        <w:rPr>
          <w:rFonts w:ascii="宋体" w:hAnsi="宋体"/>
          <w:szCs w:val="21"/>
        </w:rPr>
        <w:t>时</w:t>
      </w:r>
      <w:r>
        <w:rPr>
          <w:rFonts w:hint="eastAsia" w:ascii="宋体" w:hAnsi="宋体"/>
          <w:szCs w:val="21"/>
          <w:u w:val="single"/>
        </w:rPr>
        <w:t>00</w:t>
      </w:r>
      <w:r>
        <w:rPr>
          <w:rFonts w:ascii="宋体" w:hAnsi="宋体"/>
          <w:szCs w:val="21"/>
        </w:rPr>
        <w:t>分</w:t>
      </w:r>
      <w:r>
        <w:rPr>
          <w:rFonts w:hint="eastAsia" w:ascii="宋体" w:hAnsi="宋体"/>
          <w:szCs w:val="21"/>
        </w:rPr>
        <w:t>，</w:t>
      </w:r>
      <w:r>
        <w:rPr>
          <w:rFonts w:ascii="Calibri" w:hAnsi="Calibri"/>
          <w:szCs w:val="21"/>
        </w:rPr>
        <w:t>投标人应在投标截止时间前通过</w:t>
      </w:r>
      <w:r>
        <w:rPr>
          <w:rFonts w:hint="eastAsia" w:ascii="宋体" w:hAnsi="宋体"/>
          <w:szCs w:val="21"/>
        </w:rPr>
        <w:t>广州公共资源交易中心网站</w:t>
      </w:r>
      <w:r>
        <w:rPr>
          <w:rFonts w:ascii="宋体" w:hAnsi="宋体"/>
          <w:szCs w:val="21"/>
        </w:rPr>
        <w:t>（http://www.gzggzy.cn/）</w:t>
      </w:r>
      <w:r>
        <w:rPr>
          <w:rFonts w:ascii="Calibri" w:hAnsi="Calibri"/>
          <w:szCs w:val="21"/>
        </w:rPr>
        <w:t>递交电子投标文件。</w:t>
      </w:r>
      <w:bookmarkEnd w:id="63"/>
      <w:bookmarkEnd w:id="64"/>
    </w:p>
    <w:p>
      <w:pPr>
        <w:spacing w:before="120" w:line="400" w:lineRule="exact"/>
        <w:ind w:left="420" w:firstLine="420"/>
        <w:rPr>
          <w:rFonts w:ascii="宋体" w:hAnsi="宋体"/>
          <w:szCs w:val="21"/>
        </w:rPr>
      </w:pPr>
      <w:r>
        <w:rPr>
          <w:rFonts w:hint="eastAsia" w:ascii="宋体" w:hAnsi="宋体"/>
          <w:szCs w:val="21"/>
        </w:rPr>
        <w:t>5</w:t>
      </w:r>
      <w:r>
        <w:rPr>
          <w:rFonts w:ascii="宋体" w:hAnsi="宋体"/>
          <w:szCs w:val="21"/>
        </w:rPr>
        <w:t>.</w:t>
      </w:r>
      <w:r>
        <w:rPr>
          <w:rFonts w:hint="eastAsia" w:ascii="宋体" w:hAnsi="宋体"/>
          <w:szCs w:val="21"/>
        </w:rPr>
        <w:t>2</w:t>
      </w:r>
      <w:r>
        <w:rPr>
          <w:rFonts w:ascii="Calibri" w:hAnsi="Calibri"/>
          <w:szCs w:val="21"/>
        </w:rPr>
        <w:t>逾期提交的或未按照招标文件要求加密的电子投标文件，招标人（电子招标投标交易平台）将予以拒收。</w:t>
      </w:r>
    </w:p>
    <w:p>
      <w:pPr>
        <w:spacing w:before="120" w:line="400" w:lineRule="exact"/>
        <w:ind w:left="420" w:firstLine="420"/>
        <w:rPr>
          <w:rFonts w:ascii="宋体" w:hAnsi="宋体"/>
          <w:szCs w:val="21"/>
        </w:rPr>
      </w:pPr>
      <w:r>
        <w:rPr>
          <w:rFonts w:hint="eastAsia" w:ascii="宋体" w:hAnsi="宋体"/>
          <w:szCs w:val="21"/>
        </w:rPr>
        <w:t>5</w:t>
      </w:r>
      <w:r>
        <w:rPr>
          <w:rFonts w:ascii="宋体" w:hAnsi="宋体"/>
          <w:szCs w:val="21"/>
        </w:rPr>
        <w:t>.</w:t>
      </w:r>
      <w:r>
        <w:rPr>
          <w:rFonts w:hint="eastAsia" w:ascii="宋体" w:hAnsi="宋体"/>
          <w:szCs w:val="21"/>
        </w:rPr>
        <w:t>3纸质投标保函（或纸质版银行汇款底单）和含电子投标文件的</w:t>
      </w:r>
      <w:r>
        <w:rPr>
          <w:rFonts w:ascii="宋体" w:hAnsi="宋体"/>
          <w:szCs w:val="21"/>
        </w:rPr>
        <w:t>U</w:t>
      </w:r>
      <w:r>
        <w:rPr>
          <w:rFonts w:hint="eastAsia" w:ascii="宋体" w:hAnsi="宋体"/>
          <w:szCs w:val="21"/>
        </w:rPr>
        <w:t>盘等资料采用现场递交方式，递交地点：广州公共资源交易中心（地址：广州市天河区天润路</w:t>
      </w:r>
      <w:r>
        <w:rPr>
          <w:rFonts w:ascii="宋体" w:hAnsi="宋体"/>
          <w:szCs w:val="21"/>
        </w:rPr>
        <w:t>333</w:t>
      </w:r>
      <w:r>
        <w:rPr>
          <w:rFonts w:hint="eastAsia" w:ascii="宋体" w:hAnsi="宋体"/>
          <w:szCs w:val="21"/>
        </w:rPr>
        <w:t>号）。</w:t>
      </w:r>
    </w:p>
    <w:p>
      <w:pPr>
        <w:autoSpaceDE w:val="0"/>
        <w:autoSpaceDN w:val="0"/>
        <w:adjustRightInd w:val="0"/>
        <w:spacing w:before="120" w:after="60" w:line="400" w:lineRule="exact"/>
        <w:ind w:left="420" w:firstLine="560"/>
        <w:textAlignment w:val="baseline"/>
        <w:outlineLvl w:val="0"/>
        <w:rPr>
          <w:rFonts w:ascii="黑体" w:hAnsi="Calibri" w:eastAsia="黑体" w:cs="宋体"/>
          <w:kern w:val="20"/>
          <w:sz w:val="28"/>
          <w:szCs w:val="28"/>
        </w:rPr>
      </w:pPr>
      <w:bookmarkStart w:id="70" w:name="_Toc476160815"/>
      <w:bookmarkStart w:id="71" w:name="_Toc53589648"/>
      <w:bookmarkStart w:id="72" w:name="_Toc83633444"/>
      <w:r>
        <w:rPr>
          <w:rFonts w:ascii="黑体" w:hAnsi="Calibri" w:eastAsia="黑体" w:cs="宋体"/>
          <w:kern w:val="20"/>
          <w:sz w:val="28"/>
          <w:szCs w:val="28"/>
        </w:rPr>
        <w:t>6.发布公告的媒体</w:t>
      </w:r>
      <w:bookmarkEnd w:id="65"/>
      <w:bookmarkEnd w:id="66"/>
      <w:bookmarkEnd w:id="67"/>
      <w:bookmarkEnd w:id="68"/>
      <w:bookmarkEnd w:id="69"/>
      <w:bookmarkEnd w:id="70"/>
      <w:bookmarkEnd w:id="71"/>
      <w:bookmarkEnd w:id="72"/>
    </w:p>
    <w:p>
      <w:pPr>
        <w:spacing w:before="120" w:line="400" w:lineRule="exact"/>
        <w:ind w:left="420" w:firstLine="420"/>
        <w:rPr>
          <w:rFonts w:ascii="宋体" w:hAnsi="宋体"/>
          <w:szCs w:val="21"/>
        </w:rPr>
      </w:pPr>
      <w:bookmarkStart w:id="73" w:name="_Toc210327503"/>
      <w:bookmarkStart w:id="74" w:name="_Toc276714879"/>
      <w:bookmarkStart w:id="75" w:name="_Toc210364689"/>
      <w:bookmarkStart w:id="76" w:name="_Toc210355365"/>
      <w:bookmarkStart w:id="77" w:name="_Toc277917510"/>
      <w:r>
        <w:rPr>
          <w:rFonts w:hint="eastAsia" w:ascii="宋体" w:hAnsi="宋体"/>
          <w:szCs w:val="21"/>
        </w:rPr>
        <w:t>本次招标公告同时在广州公共资源交易中心网、</w:t>
      </w:r>
      <w:r>
        <w:rPr>
          <w:rFonts w:hint="eastAsia" w:ascii="宋体" w:hAnsi="宋体" w:cs="宋体"/>
          <w:szCs w:val="21"/>
        </w:rPr>
        <w:t>中国招标投标公共服务平台、</w:t>
      </w:r>
      <w:r>
        <w:rPr>
          <w:rFonts w:hint="eastAsia" w:ascii="宋体" w:hAnsi="宋体"/>
          <w:szCs w:val="21"/>
        </w:rPr>
        <w:t>铁路建设工程网、国铁采购平台上发布，本公告的修改、补充，在广州公共资源交易中心网站发布。本公告在各媒体发布的文本如有不同之处，以在广州公共资源交易中心网站发布的文本为准</w:t>
      </w:r>
      <w:r>
        <w:rPr>
          <w:rFonts w:ascii="宋体" w:hAnsi="宋体"/>
          <w:szCs w:val="21"/>
        </w:rPr>
        <w:t>。</w:t>
      </w:r>
    </w:p>
    <w:p>
      <w:pPr>
        <w:autoSpaceDE w:val="0"/>
        <w:autoSpaceDN w:val="0"/>
        <w:adjustRightInd w:val="0"/>
        <w:spacing w:before="120" w:after="60" w:line="400" w:lineRule="exact"/>
        <w:ind w:left="420" w:firstLine="560"/>
        <w:textAlignment w:val="baseline"/>
        <w:outlineLvl w:val="0"/>
        <w:rPr>
          <w:rFonts w:ascii="黑体" w:hAnsi="Calibri" w:eastAsia="黑体" w:cs="宋体"/>
          <w:kern w:val="20"/>
          <w:sz w:val="28"/>
          <w:szCs w:val="28"/>
        </w:rPr>
      </w:pPr>
      <w:bookmarkStart w:id="78" w:name="_Toc53589649"/>
      <w:bookmarkStart w:id="79" w:name="_Toc476160816"/>
      <w:bookmarkStart w:id="80" w:name="_Toc83633445"/>
      <w:r>
        <w:rPr>
          <w:rFonts w:ascii="黑体" w:hAnsi="Calibri" w:eastAsia="黑体" w:cs="宋体"/>
          <w:kern w:val="20"/>
          <w:sz w:val="28"/>
          <w:szCs w:val="28"/>
        </w:rPr>
        <w:t>7.联系方式</w:t>
      </w:r>
      <w:bookmarkEnd w:id="73"/>
      <w:bookmarkEnd w:id="74"/>
      <w:bookmarkEnd w:id="75"/>
      <w:bookmarkEnd w:id="76"/>
      <w:bookmarkEnd w:id="77"/>
      <w:bookmarkEnd w:id="78"/>
      <w:bookmarkEnd w:id="79"/>
      <w:bookmarkEnd w:id="80"/>
    </w:p>
    <w:tbl>
      <w:tblPr>
        <w:tblStyle w:val="11"/>
        <w:tblW w:w="0" w:type="auto"/>
        <w:tblInd w:w="0" w:type="dxa"/>
        <w:tblLayout w:type="fixed"/>
        <w:tblCellMar>
          <w:top w:w="0" w:type="dxa"/>
          <w:left w:w="108" w:type="dxa"/>
          <w:bottom w:w="0" w:type="dxa"/>
          <w:right w:w="108" w:type="dxa"/>
        </w:tblCellMar>
      </w:tblPr>
      <w:tblGrid>
        <w:gridCol w:w="2169"/>
        <w:gridCol w:w="5877"/>
      </w:tblGrid>
      <w:tr>
        <w:tblPrEx>
          <w:tblCellMar>
            <w:top w:w="0" w:type="dxa"/>
            <w:left w:w="108" w:type="dxa"/>
            <w:bottom w:w="0" w:type="dxa"/>
            <w:right w:w="108" w:type="dxa"/>
          </w:tblCellMar>
        </w:tblPrEx>
        <w:trPr>
          <w:trHeight w:val="395" w:hRule="atLeast"/>
        </w:trPr>
        <w:tc>
          <w:tcPr>
            <w:tcW w:w="2169" w:type="dxa"/>
          </w:tcPr>
          <w:p>
            <w:pPr>
              <w:adjustRightInd w:val="0"/>
              <w:snapToGrid w:val="0"/>
              <w:spacing w:before="120"/>
              <w:ind w:left="420" w:firstLine="420"/>
              <w:rPr>
                <w:rFonts w:ascii="宋体" w:hAnsi="宋体"/>
                <w:szCs w:val="22"/>
              </w:rPr>
            </w:pPr>
            <w:r>
              <w:rPr>
                <w:rFonts w:hint="eastAsia" w:ascii="宋体" w:hAnsi="宋体"/>
                <w:szCs w:val="22"/>
              </w:rPr>
              <w:t xml:space="preserve">招 标 人： </w:t>
            </w:r>
          </w:p>
        </w:tc>
        <w:tc>
          <w:tcPr>
            <w:tcW w:w="5877" w:type="dxa"/>
            <w:vAlign w:val="center"/>
          </w:tcPr>
          <w:p>
            <w:pPr>
              <w:tabs>
                <w:tab w:val="left" w:pos="4500"/>
              </w:tabs>
              <w:adjustRightInd w:val="0"/>
              <w:snapToGrid w:val="0"/>
              <w:spacing w:before="120"/>
              <w:ind w:left="420" w:firstLine="420"/>
              <w:rPr>
                <w:rFonts w:ascii="宋体" w:hAnsi="宋体"/>
                <w:szCs w:val="21"/>
                <w:u w:val="single"/>
              </w:rPr>
            </w:pPr>
            <w:r>
              <w:rPr>
                <w:rFonts w:hint="eastAsia" w:ascii="宋体" w:hAnsi="宋体"/>
                <w:szCs w:val="21"/>
                <w:u w:val="single"/>
              </w:rPr>
              <w:t>广深铁路股份有限公司广州电务段</w:t>
            </w:r>
          </w:p>
        </w:tc>
      </w:tr>
      <w:tr>
        <w:tblPrEx>
          <w:tblCellMar>
            <w:top w:w="0" w:type="dxa"/>
            <w:left w:w="108" w:type="dxa"/>
            <w:bottom w:w="0" w:type="dxa"/>
            <w:right w:w="108" w:type="dxa"/>
          </w:tblCellMar>
        </w:tblPrEx>
        <w:trPr>
          <w:trHeight w:val="395" w:hRule="atLeast"/>
        </w:trPr>
        <w:tc>
          <w:tcPr>
            <w:tcW w:w="2169" w:type="dxa"/>
          </w:tcPr>
          <w:p>
            <w:pPr>
              <w:adjustRightInd w:val="0"/>
              <w:snapToGrid w:val="0"/>
              <w:spacing w:before="120"/>
              <w:ind w:left="420" w:firstLine="420"/>
              <w:rPr>
                <w:rFonts w:ascii="宋体" w:hAnsi="宋体"/>
                <w:szCs w:val="22"/>
              </w:rPr>
            </w:pPr>
            <w:r>
              <w:rPr>
                <w:rFonts w:hint="eastAsia" w:ascii="宋体" w:hAnsi="宋体"/>
                <w:szCs w:val="22"/>
              </w:rPr>
              <w:t xml:space="preserve">地    址： </w:t>
            </w:r>
          </w:p>
        </w:tc>
        <w:tc>
          <w:tcPr>
            <w:tcW w:w="5877" w:type="dxa"/>
            <w:vAlign w:val="center"/>
          </w:tcPr>
          <w:p>
            <w:pPr>
              <w:tabs>
                <w:tab w:val="left" w:pos="4500"/>
              </w:tabs>
              <w:adjustRightInd w:val="0"/>
              <w:snapToGrid w:val="0"/>
              <w:spacing w:before="120"/>
              <w:ind w:left="420" w:firstLine="420"/>
              <w:rPr>
                <w:rFonts w:ascii="宋体" w:hAnsi="宋体"/>
                <w:szCs w:val="21"/>
                <w:u w:val="single"/>
              </w:rPr>
            </w:pPr>
            <w:r>
              <w:rPr>
                <w:rFonts w:hint="eastAsia" w:ascii="宋体" w:hAnsi="宋体"/>
                <w:bCs/>
                <w:szCs w:val="21"/>
                <w:u w:val="single"/>
              </w:rPr>
              <w:t>广州市天河区天寿路沾益直街4号</w:t>
            </w:r>
          </w:p>
        </w:tc>
      </w:tr>
      <w:tr>
        <w:tblPrEx>
          <w:tblCellMar>
            <w:top w:w="0" w:type="dxa"/>
            <w:left w:w="108" w:type="dxa"/>
            <w:bottom w:w="0" w:type="dxa"/>
            <w:right w:w="108" w:type="dxa"/>
          </w:tblCellMar>
        </w:tblPrEx>
        <w:trPr>
          <w:trHeight w:val="395" w:hRule="atLeast"/>
        </w:trPr>
        <w:tc>
          <w:tcPr>
            <w:tcW w:w="2169" w:type="dxa"/>
          </w:tcPr>
          <w:p>
            <w:pPr>
              <w:adjustRightInd w:val="0"/>
              <w:snapToGrid w:val="0"/>
              <w:spacing w:before="120"/>
              <w:ind w:left="420" w:firstLine="420"/>
              <w:rPr>
                <w:rFonts w:ascii="宋体" w:hAnsi="宋体"/>
                <w:szCs w:val="22"/>
              </w:rPr>
            </w:pPr>
            <w:r>
              <w:rPr>
                <w:rFonts w:hint="eastAsia" w:ascii="宋体" w:hAnsi="宋体"/>
                <w:szCs w:val="22"/>
              </w:rPr>
              <w:t>邮    编：</w:t>
            </w:r>
          </w:p>
        </w:tc>
        <w:tc>
          <w:tcPr>
            <w:tcW w:w="5877" w:type="dxa"/>
            <w:vAlign w:val="center"/>
          </w:tcPr>
          <w:p>
            <w:pPr>
              <w:tabs>
                <w:tab w:val="left" w:pos="4500"/>
              </w:tabs>
              <w:adjustRightInd w:val="0"/>
              <w:snapToGrid w:val="0"/>
              <w:spacing w:before="120"/>
              <w:ind w:left="420" w:firstLine="420"/>
              <w:rPr>
                <w:rFonts w:ascii="宋体" w:hAnsi="宋体"/>
                <w:szCs w:val="21"/>
              </w:rPr>
            </w:pPr>
            <w:r>
              <w:rPr>
                <w:rFonts w:ascii="宋体" w:hAnsi="宋体"/>
                <w:szCs w:val="21"/>
                <w:u w:val="single"/>
              </w:rPr>
              <w:t>510</w:t>
            </w:r>
            <w:r>
              <w:rPr>
                <w:rFonts w:hint="eastAsia" w:ascii="宋体" w:hAnsi="宋体"/>
                <w:szCs w:val="21"/>
                <w:u w:val="single"/>
              </w:rPr>
              <w:t>0</w:t>
            </w:r>
            <w:r>
              <w:rPr>
                <w:rFonts w:ascii="宋体" w:hAnsi="宋体"/>
                <w:szCs w:val="21"/>
                <w:u w:val="single"/>
              </w:rPr>
              <w:t>10</w:t>
            </w:r>
          </w:p>
        </w:tc>
      </w:tr>
      <w:tr>
        <w:tblPrEx>
          <w:tblCellMar>
            <w:top w:w="0" w:type="dxa"/>
            <w:left w:w="108" w:type="dxa"/>
            <w:bottom w:w="0" w:type="dxa"/>
            <w:right w:w="108" w:type="dxa"/>
          </w:tblCellMar>
        </w:tblPrEx>
        <w:trPr>
          <w:trHeight w:val="410" w:hRule="atLeast"/>
        </w:trPr>
        <w:tc>
          <w:tcPr>
            <w:tcW w:w="2169" w:type="dxa"/>
          </w:tcPr>
          <w:p>
            <w:pPr>
              <w:adjustRightInd w:val="0"/>
              <w:snapToGrid w:val="0"/>
              <w:spacing w:before="120"/>
              <w:ind w:left="420" w:firstLine="420"/>
              <w:rPr>
                <w:rFonts w:ascii="宋体" w:hAnsi="宋体"/>
                <w:szCs w:val="22"/>
              </w:rPr>
            </w:pPr>
            <w:r>
              <w:rPr>
                <w:rFonts w:hint="eastAsia" w:ascii="宋体" w:hAnsi="宋体"/>
                <w:szCs w:val="22"/>
              </w:rPr>
              <w:t xml:space="preserve">联 系 人： </w:t>
            </w:r>
          </w:p>
        </w:tc>
        <w:tc>
          <w:tcPr>
            <w:tcW w:w="5877" w:type="dxa"/>
            <w:vAlign w:val="center"/>
          </w:tcPr>
          <w:p>
            <w:pPr>
              <w:tabs>
                <w:tab w:val="left" w:pos="4500"/>
              </w:tabs>
              <w:adjustRightInd w:val="0"/>
              <w:snapToGrid w:val="0"/>
              <w:spacing w:before="120"/>
              <w:ind w:left="420" w:firstLine="420"/>
              <w:rPr>
                <w:rFonts w:ascii="宋体" w:hAnsi="宋体"/>
                <w:szCs w:val="21"/>
                <w:u w:val="single"/>
              </w:rPr>
            </w:pPr>
            <w:r>
              <w:rPr>
                <w:rFonts w:hint="eastAsia" w:ascii="Calibri" w:hAnsi="Calibri"/>
                <w:szCs w:val="22"/>
                <w:u w:val="single"/>
              </w:rPr>
              <w:t>梁工</w:t>
            </w:r>
          </w:p>
        </w:tc>
      </w:tr>
      <w:tr>
        <w:tblPrEx>
          <w:tblCellMar>
            <w:top w:w="0" w:type="dxa"/>
            <w:left w:w="108" w:type="dxa"/>
            <w:bottom w:w="0" w:type="dxa"/>
            <w:right w:w="108" w:type="dxa"/>
          </w:tblCellMar>
        </w:tblPrEx>
        <w:trPr>
          <w:trHeight w:val="395" w:hRule="atLeast"/>
        </w:trPr>
        <w:tc>
          <w:tcPr>
            <w:tcW w:w="2169" w:type="dxa"/>
          </w:tcPr>
          <w:p>
            <w:pPr>
              <w:adjustRightInd w:val="0"/>
              <w:snapToGrid w:val="0"/>
              <w:spacing w:before="120"/>
              <w:ind w:left="420" w:firstLine="420"/>
              <w:rPr>
                <w:rFonts w:ascii="宋体" w:hAnsi="宋体"/>
                <w:szCs w:val="22"/>
              </w:rPr>
            </w:pPr>
            <w:r>
              <w:rPr>
                <w:rFonts w:hint="eastAsia" w:ascii="宋体" w:hAnsi="宋体"/>
                <w:szCs w:val="22"/>
              </w:rPr>
              <w:t xml:space="preserve">电    话： </w:t>
            </w:r>
          </w:p>
        </w:tc>
        <w:tc>
          <w:tcPr>
            <w:tcW w:w="5877" w:type="dxa"/>
            <w:vAlign w:val="center"/>
          </w:tcPr>
          <w:p>
            <w:pPr>
              <w:tabs>
                <w:tab w:val="left" w:pos="4500"/>
              </w:tabs>
              <w:adjustRightInd w:val="0"/>
              <w:snapToGrid w:val="0"/>
              <w:spacing w:before="120"/>
              <w:ind w:left="420" w:firstLine="420"/>
              <w:rPr>
                <w:rFonts w:ascii="宋体" w:hAnsi="宋体"/>
                <w:szCs w:val="21"/>
                <w:u w:val="single"/>
              </w:rPr>
            </w:pPr>
            <w:r>
              <w:rPr>
                <w:rFonts w:hint="eastAsia" w:ascii="宋体" w:hAnsi="宋体"/>
                <w:bCs/>
                <w:szCs w:val="21"/>
                <w:u w:val="single"/>
              </w:rPr>
              <w:t>020-61346926</w:t>
            </w:r>
          </w:p>
        </w:tc>
      </w:tr>
      <w:tr>
        <w:tblPrEx>
          <w:tblCellMar>
            <w:top w:w="0" w:type="dxa"/>
            <w:left w:w="108" w:type="dxa"/>
            <w:bottom w:w="0" w:type="dxa"/>
            <w:right w:w="108" w:type="dxa"/>
          </w:tblCellMar>
        </w:tblPrEx>
        <w:trPr>
          <w:trHeight w:val="395" w:hRule="atLeast"/>
        </w:trPr>
        <w:tc>
          <w:tcPr>
            <w:tcW w:w="2169" w:type="dxa"/>
            <w:vAlign w:val="center"/>
          </w:tcPr>
          <w:p>
            <w:pPr>
              <w:tabs>
                <w:tab w:val="left" w:pos="4500"/>
              </w:tabs>
              <w:adjustRightInd w:val="0"/>
              <w:snapToGrid w:val="0"/>
              <w:spacing w:before="120"/>
              <w:ind w:left="420" w:firstLine="420"/>
              <w:rPr>
                <w:rFonts w:ascii="宋体" w:hAnsi="宋体"/>
                <w:szCs w:val="21"/>
              </w:rPr>
            </w:pPr>
          </w:p>
        </w:tc>
        <w:tc>
          <w:tcPr>
            <w:tcW w:w="5877" w:type="dxa"/>
            <w:vAlign w:val="center"/>
          </w:tcPr>
          <w:p>
            <w:pPr>
              <w:tabs>
                <w:tab w:val="left" w:pos="4500"/>
              </w:tabs>
              <w:adjustRightInd w:val="0"/>
              <w:snapToGrid w:val="0"/>
              <w:spacing w:before="120"/>
              <w:ind w:left="420" w:firstLine="420"/>
              <w:rPr>
                <w:rFonts w:ascii="宋体" w:hAnsi="宋体"/>
                <w:szCs w:val="21"/>
                <w:u w:val="single"/>
              </w:rPr>
            </w:pPr>
          </w:p>
        </w:tc>
      </w:tr>
      <w:tr>
        <w:tblPrEx>
          <w:tblCellMar>
            <w:top w:w="0" w:type="dxa"/>
            <w:left w:w="108" w:type="dxa"/>
            <w:bottom w:w="0" w:type="dxa"/>
            <w:right w:w="108" w:type="dxa"/>
          </w:tblCellMar>
        </w:tblPrEx>
        <w:trPr>
          <w:trHeight w:val="395" w:hRule="atLeast"/>
        </w:trPr>
        <w:tc>
          <w:tcPr>
            <w:tcW w:w="2169" w:type="dxa"/>
          </w:tcPr>
          <w:p>
            <w:pPr>
              <w:adjustRightInd w:val="0"/>
              <w:snapToGrid w:val="0"/>
              <w:spacing w:before="120"/>
              <w:ind w:left="420"/>
              <w:rPr>
                <w:rFonts w:ascii="宋体" w:hAnsi="宋体"/>
                <w:szCs w:val="21"/>
              </w:rPr>
            </w:pPr>
            <w:r>
              <w:rPr>
                <w:rFonts w:hint="eastAsia" w:ascii="宋体" w:hAnsi="宋体"/>
                <w:szCs w:val="21"/>
              </w:rPr>
              <w:t xml:space="preserve">招标代理机构： </w:t>
            </w:r>
          </w:p>
        </w:tc>
        <w:tc>
          <w:tcPr>
            <w:tcW w:w="5877" w:type="dxa"/>
          </w:tcPr>
          <w:p>
            <w:pPr>
              <w:adjustRightInd w:val="0"/>
              <w:snapToGrid w:val="0"/>
              <w:spacing w:before="120"/>
              <w:ind w:left="420" w:firstLine="420"/>
              <w:rPr>
                <w:rFonts w:ascii="宋体" w:hAnsi="宋体"/>
                <w:szCs w:val="21"/>
              </w:rPr>
            </w:pPr>
            <w:r>
              <w:rPr>
                <w:rFonts w:hint="eastAsia" w:ascii="宋体" w:hAnsi="宋体"/>
                <w:szCs w:val="21"/>
              </w:rPr>
              <w:t>中铁物总国际招标有限公司</w:t>
            </w:r>
          </w:p>
        </w:tc>
      </w:tr>
      <w:tr>
        <w:tblPrEx>
          <w:tblCellMar>
            <w:top w:w="0" w:type="dxa"/>
            <w:left w:w="108" w:type="dxa"/>
            <w:bottom w:w="0" w:type="dxa"/>
            <w:right w:w="108" w:type="dxa"/>
          </w:tblCellMar>
        </w:tblPrEx>
        <w:trPr>
          <w:trHeight w:val="395" w:hRule="atLeast"/>
        </w:trPr>
        <w:tc>
          <w:tcPr>
            <w:tcW w:w="2169" w:type="dxa"/>
          </w:tcPr>
          <w:p>
            <w:pPr>
              <w:adjustRightInd w:val="0"/>
              <w:snapToGrid w:val="0"/>
              <w:spacing w:before="120"/>
              <w:ind w:left="420" w:firstLine="420"/>
              <w:rPr>
                <w:rFonts w:ascii="宋体" w:hAnsi="宋体"/>
                <w:szCs w:val="21"/>
              </w:rPr>
            </w:pPr>
            <w:r>
              <w:rPr>
                <w:rFonts w:hint="eastAsia" w:ascii="宋体" w:hAnsi="宋体"/>
                <w:szCs w:val="21"/>
              </w:rPr>
              <w:t xml:space="preserve">地    址： </w:t>
            </w:r>
          </w:p>
        </w:tc>
        <w:tc>
          <w:tcPr>
            <w:tcW w:w="5877" w:type="dxa"/>
          </w:tcPr>
          <w:p>
            <w:pPr>
              <w:adjustRightInd w:val="0"/>
              <w:snapToGrid w:val="0"/>
              <w:spacing w:before="120"/>
              <w:ind w:left="420" w:firstLine="420"/>
              <w:rPr>
                <w:rFonts w:ascii="宋体" w:hAnsi="宋体"/>
                <w:szCs w:val="21"/>
              </w:rPr>
            </w:pPr>
            <w:r>
              <w:rPr>
                <w:rFonts w:hint="eastAsia" w:ascii="宋体" w:hAnsi="宋体"/>
                <w:szCs w:val="21"/>
              </w:rPr>
              <w:t>广州市越秀区中山一路65号中国铁物二楼</w:t>
            </w:r>
          </w:p>
        </w:tc>
      </w:tr>
      <w:tr>
        <w:tblPrEx>
          <w:tblCellMar>
            <w:top w:w="0" w:type="dxa"/>
            <w:left w:w="108" w:type="dxa"/>
            <w:bottom w:w="0" w:type="dxa"/>
            <w:right w:w="108" w:type="dxa"/>
          </w:tblCellMar>
        </w:tblPrEx>
        <w:trPr>
          <w:trHeight w:val="395" w:hRule="atLeast"/>
        </w:trPr>
        <w:tc>
          <w:tcPr>
            <w:tcW w:w="2169" w:type="dxa"/>
          </w:tcPr>
          <w:p>
            <w:pPr>
              <w:adjustRightInd w:val="0"/>
              <w:snapToGrid w:val="0"/>
              <w:spacing w:before="120"/>
              <w:ind w:left="420" w:firstLine="420"/>
              <w:rPr>
                <w:rFonts w:ascii="宋体" w:hAnsi="宋体"/>
                <w:szCs w:val="21"/>
              </w:rPr>
            </w:pPr>
            <w:r>
              <w:rPr>
                <w:rFonts w:hint="eastAsia" w:ascii="宋体" w:hAnsi="宋体"/>
                <w:szCs w:val="21"/>
              </w:rPr>
              <w:t>邮    编：</w:t>
            </w:r>
          </w:p>
        </w:tc>
        <w:tc>
          <w:tcPr>
            <w:tcW w:w="5877" w:type="dxa"/>
          </w:tcPr>
          <w:p>
            <w:pPr>
              <w:adjustRightInd w:val="0"/>
              <w:snapToGrid w:val="0"/>
              <w:spacing w:before="120"/>
              <w:ind w:left="420" w:firstLine="420"/>
              <w:rPr>
                <w:rFonts w:ascii="宋体" w:hAnsi="宋体"/>
                <w:szCs w:val="21"/>
              </w:rPr>
            </w:pPr>
            <w:r>
              <w:rPr>
                <w:rFonts w:ascii="宋体" w:hAnsi="宋体"/>
                <w:szCs w:val="21"/>
              </w:rPr>
              <w:t>510080</w:t>
            </w:r>
          </w:p>
        </w:tc>
      </w:tr>
      <w:tr>
        <w:tblPrEx>
          <w:tblCellMar>
            <w:top w:w="0" w:type="dxa"/>
            <w:left w:w="108" w:type="dxa"/>
            <w:bottom w:w="0" w:type="dxa"/>
            <w:right w:w="108" w:type="dxa"/>
          </w:tblCellMar>
        </w:tblPrEx>
        <w:trPr>
          <w:trHeight w:val="410" w:hRule="atLeast"/>
        </w:trPr>
        <w:tc>
          <w:tcPr>
            <w:tcW w:w="2169" w:type="dxa"/>
          </w:tcPr>
          <w:p>
            <w:pPr>
              <w:adjustRightInd w:val="0"/>
              <w:snapToGrid w:val="0"/>
              <w:spacing w:before="120"/>
              <w:ind w:left="420" w:firstLine="420"/>
              <w:rPr>
                <w:rFonts w:ascii="宋体" w:hAnsi="宋体"/>
                <w:szCs w:val="21"/>
              </w:rPr>
            </w:pPr>
            <w:r>
              <w:rPr>
                <w:rFonts w:hint="eastAsia" w:ascii="宋体" w:hAnsi="宋体"/>
                <w:szCs w:val="21"/>
              </w:rPr>
              <w:t xml:space="preserve">项目经理： </w:t>
            </w:r>
          </w:p>
        </w:tc>
        <w:tc>
          <w:tcPr>
            <w:tcW w:w="5877" w:type="dxa"/>
          </w:tcPr>
          <w:p>
            <w:pPr>
              <w:adjustRightInd w:val="0"/>
              <w:snapToGrid w:val="0"/>
              <w:spacing w:before="120"/>
              <w:ind w:left="420" w:firstLine="420"/>
              <w:rPr>
                <w:rFonts w:ascii="宋体" w:hAnsi="宋体"/>
                <w:szCs w:val="21"/>
              </w:rPr>
            </w:pPr>
            <w:r>
              <w:rPr>
                <w:rFonts w:hint="eastAsia" w:ascii="宋体" w:hAnsi="宋体"/>
                <w:szCs w:val="21"/>
              </w:rPr>
              <w:t>李剑华（招标师证书编号：09394443909441213）</w:t>
            </w:r>
          </w:p>
        </w:tc>
      </w:tr>
      <w:tr>
        <w:tblPrEx>
          <w:tblCellMar>
            <w:top w:w="0" w:type="dxa"/>
            <w:left w:w="108" w:type="dxa"/>
            <w:bottom w:w="0" w:type="dxa"/>
            <w:right w:w="108" w:type="dxa"/>
          </w:tblCellMar>
        </w:tblPrEx>
        <w:trPr>
          <w:trHeight w:val="395" w:hRule="atLeast"/>
        </w:trPr>
        <w:tc>
          <w:tcPr>
            <w:tcW w:w="2169" w:type="dxa"/>
          </w:tcPr>
          <w:p>
            <w:pPr>
              <w:adjustRightInd w:val="0"/>
              <w:snapToGrid w:val="0"/>
              <w:spacing w:before="120"/>
              <w:ind w:left="199" w:leftChars="95"/>
              <w:rPr>
                <w:rFonts w:ascii="宋体" w:hAnsi="宋体"/>
                <w:szCs w:val="21"/>
              </w:rPr>
            </w:pPr>
            <w:r>
              <w:rPr>
                <w:rFonts w:hint="eastAsia" w:ascii="宋体" w:hAnsi="宋体"/>
                <w:szCs w:val="21"/>
              </w:rPr>
              <w:t xml:space="preserve">投标登记联系人： </w:t>
            </w:r>
          </w:p>
        </w:tc>
        <w:tc>
          <w:tcPr>
            <w:tcW w:w="5877" w:type="dxa"/>
          </w:tcPr>
          <w:p>
            <w:pPr>
              <w:adjustRightInd w:val="0"/>
              <w:snapToGrid w:val="0"/>
              <w:spacing w:before="120"/>
              <w:ind w:left="420" w:firstLine="420"/>
              <w:rPr>
                <w:rFonts w:ascii="宋体" w:hAnsi="宋体"/>
                <w:szCs w:val="21"/>
              </w:rPr>
            </w:pPr>
            <w:r>
              <w:rPr>
                <w:rFonts w:hint="eastAsia" w:ascii="宋体" w:hAnsi="宋体"/>
                <w:szCs w:val="21"/>
              </w:rPr>
              <w:t>刘工</w:t>
            </w:r>
            <w:r>
              <w:rPr>
                <w:rFonts w:ascii="宋体" w:hAnsi="宋体"/>
                <w:szCs w:val="21"/>
              </w:rPr>
              <w:t>13600487989</w:t>
            </w:r>
          </w:p>
        </w:tc>
      </w:tr>
      <w:tr>
        <w:tblPrEx>
          <w:tblCellMar>
            <w:top w:w="0" w:type="dxa"/>
            <w:left w:w="108" w:type="dxa"/>
            <w:bottom w:w="0" w:type="dxa"/>
            <w:right w:w="108" w:type="dxa"/>
          </w:tblCellMar>
        </w:tblPrEx>
        <w:trPr>
          <w:trHeight w:val="395" w:hRule="atLeast"/>
        </w:trPr>
        <w:tc>
          <w:tcPr>
            <w:tcW w:w="2169" w:type="dxa"/>
          </w:tcPr>
          <w:p>
            <w:pPr>
              <w:adjustRightInd w:val="0"/>
              <w:snapToGrid w:val="0"/>
              <w:spacing w:before="120"/>
              <w:ind w:left="420"/>
              <w:rPr>
                <w:rFonts w:ascii="宋体" w:hAnsi="宋体"/>
                <w:szCs w:val="21"/>
              </w:rPr>
            </w:pPr>
            <w:r>
              <w:rPr>
                <w:rFonts w:hint="eastAsia" w:ascii="宋体" w:hAnsi="宋体"/>
                <w:szCs w:val="21"/>
              </w:rPr>
              <w:t>业务联系人：</w:t>
            </w:r>
          </w:p>
        </w:tc>
        <w:tc>
          <w:tcPr>
            <w:tcW w:w="5877" w:type="dxa"/>
          </w:tcPr>
          <w:p>
            <w:pPr>
              <w:adjustRightInd w:val="0"/>
              <w:snapToGrid w:val="0"/>
              <w:spacing w:before="120"/>
              <w:ind w:left="420" w:firstLine="420"/>
              <w:rPr>
                <w:rFonts w:ascii="宋体" w:hAnsi="宋体"/>
                <w:szCs w:val="21"/>
              </w:rPr>
            </w:pPr>
            <w:r>
              <w:rPr>
                <w:rFonts w:hint="eastAsia" w:ascii="宋体" w:hAnsi="宋体"/>
                <w:szCs w:val="21"/>
              </w:rPr>
              <w:t>靳工1</w:t>
            </w:r>
            <w:r>
              <w:rPr>
                <w:rFonts w:ascii="宋体" w:hAnsi="宋体"/>
                <w:szCs w:val="21"/>
              </w:rPr>
              <w:t>3076865531</w:t>
            </w:r>
          </w:p>
        </w:tc>
      </w:tr>
      <w:tr>
        <w:tblPrEx>
          <w:tblCellMar>
            <w:top w:w="0" w:type="dxa"/>
            <w:left w:w="108" w:type="dxa"/>
            <w:bottom w:w="0" w:type="dxa"/>
            <w:right w:w="108" w:type="dxa"/>
          </w:tblCellMar>
        </w:tblPrEx>
        <w:trPr>
          <w:trHeight w:val="395" w:hRule="atLeast"/>
        </w:trPr>
        <w:tc>
          <w:tcPr>
            <w:tcW w:w="2169" w:type="dxa"/>
          </w:tcPr>
          <w:p>
            <w:pPr>
              <w:adjustRightInd w:val="0"/>
              <w:snapToGrid w:val="0"/>
              <w:spacing w:before="120"/>
              <w:ind w:left="420" w:firstLine="420"/>
              <w:rPr>
                <w:rFonts w:ascii="宋体" w:hAnsi="宋体"/>
                <w:szCs w:val="21"/>
              </w:rPr>
            </w:pPr>
            <w:r>
              <w:rPr>
                <w:rFonts w:hint="eastAsia" w:ascii="宋体" w:hAnsi="宋体"/>
                <w:szCs w:val="21"/>
              </w:rPr>
              <w:t>电子邮件：</w:t>
            </w:r>
          </w:p>
        </w:tc>
        <w:tc>
          <w:tcPr>
            <w:tcW w:w="5877" w:type="dxa"/>
          </w:tcPr>
          <w:p>
            <w:pPr>
              <w:adjustRightInd w:val="0"/>
              <w:snapToGrid w:val="0"/>
              <w:spacing w:before="120"/>
              <w:ind w:left="420" w:firstLine="420"/>
              <w:rPr>
                <w:rFonts w:ascii="宋体" w:hAnsi="宋体"/>
                <w:szCs w:val="21"/>
              </w:rPr>
            </w:pPr>
            <w:r>
              <w:rPr>
                <w:rFonts w:ascii="宋体" w:hAnsi="宋体"/>
                <w:szCs w:val="21"/>
              </w:rPr>
              <w:t>C</w:t>
            </w:r>
            <w:r>
              <w:rPr>
                <w:rFonts w:hint="eastAsia" w:ascii="宋体" w:hAnsi="宋体"/>
                <w:szCs w:val="21"/>
              </w:rPr>
              <w:t>rmscgz2019@163.com</w:t>
            </w:r>
          </w:p>
        </w:tc>
      </w:tr>
    </w:tbl>
    <w:p>
      <w:pPr>
        <w:adjustRightInd w:val="0"/>
        <w:snapToGrid w:val="0"/>
        <w:spacing w:before="120"/>
        <w:ind w:right="2100"/>
        <w:rPr>
          <w:rFonts w:ascii="宋体" w:hAnsi="宋体"/>
          <w:szCs w:val="21"/>
        </w:rPr>
      </w:pPr>
    </w:p>
    <w:p>
      <w:pPr>
        <w:adjustRightInd w:val="0"/>
        <w:snapToGrid w:val="0"/>
        <w:spacing w:before="120"/>
        <w:ind w:right="1260"/>
        <w:jc w:val="right"/>
        <w:rPr>
          <w:rFonts w:ascii="宋体" w:hAnsi="宋体"/>
          <w:szCs w:val="21"/>
        </w:rPr>
      </w:pPr>
      <w:r>
        <w:rPr>
          <w:rFonts w:hint="eastAsia" w:ascii="宋体" w:hAnsi="宋体"/>
          <w:szCs w:val="21"/>
        </w:rPr>
        <w:t>广深铁路股份有限公司广州电务段</w:t>
      </w:r>
    </w:p>
    <w:p>
      <w:pPr>
        <w:adjustRightInd w:val="0"/>
        <w:snapToGrid w:val="0"/>
        <w:spacing w:before="120"/>
        <w:ind w:left="420" w:right="2310" w:firstLine="420"/>
        <w:jc w:val="right"/>
        <w:rPr>
          <w:rFonts w:hint="eastAsia" w:ascii="Calibri" w:hAnsi="Calibri" w:eastAsia="宋体"/>
          <w:szCs w:val="21"/>
          <w:lang w:val="en-US" w:eastAsia="zh-CN"/>
        </w:rPr>
      </w:pPr>
      <w:r>
        <w:rPr>
          <w:rFonts w:hint="eastAsia" w:ascii="宋体" w:hAnsi="宋体"/>
          <w:szCs w:val="21"/>
        </w:rPr>
        <w:t>负责人：</w:t>
      </w:r>
      <w:r>
        <w:rPr>
          <w:rFonts w:hint="eastAsia" w:ascii="宋体" w:hAnsi="宋体"/>
          <w:szCs w:val="21"/>
          <w:lang w:eastAsia="zh-CN"/>
        </w:rPr>
        <w:t>游柳</w:t>
      </w:r>
    </w:p>
    <w:p>
      <w:pPr>
        <w:adjustRightInd w:val="0"/>
        <w:snapToGrid w:val="0"/>
        <w:spacing w:before="120"/>
        <w:ind w:left="420" w:right="735"/>
        <w:jc w:val="right"/>
        <w:rPr>
          <w:rFonts w:ascii="宋体" w:hAnsi="宋体"/>
          <w:szCs w:val="21"/>
        </w:rPr>
      </w:pPr>
      <w:r>
        <w:rPr>
          <w:rFonts w:hint="eastAsia" w:ascii="宋体" w:hAnsi="宋体"/>
          <w:szCs w:val="21"/>
        </w:rPr>
        <w:t>202</w:t>
      </w:r>
      <w:r>
        <w:rPr>
          <w:rFonts w:ascii="宋体" w:hAnsi="宋体"/>
          <w:szCs w:val="21"/>
        </w:rPr>
        <w:t>2年</w:t>
      </w:r>
      <w:r>
        <w:rPr>
          <w:rFonts w:ascii="宋体" w:hAnsi="宋体"/>
          <w:szCs w:val="21"/>
          <w:u w:val="single"/>
        </w:rPr>
        <w:t>11</w:t>
      </w:r>
      <w:r>
        <w:rPr>
          <w:rFonts w:ascii="宋体" w:hAnsi="宋体"/>
          <w:szCs w:val="21"/>
        </w:rPr>
        <w:t>月</w:t>
      </w:r>
      <w:r>
        <w:rPr>
          <w:rFonts w:ascii="宋体" w:hAnsi="宋体"/>
          <w:szCs w:val="21"/>
          <w:u w:val="single"/>
        </w:rPr>
        <w:t>1</w:t>
      </w:r>
      <w:r>
        <w:rPr>
          <w:rFonts w:ascii="宋体" w:hAnsi="宋体"/>
          <w:szCs w:val="21"/>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120"/>
      <w:ind w:left="420" w:right="360" w:firstLine="360"/>
      <w:jc w:val="center"/>
    </w:pPr>
    <w:r>
      <w:fldChar w:fldCharType="begin"/>
    </w:r>
    <w:r>
      <w:instrText xml:space="preserve">PAGE   \* MERGEFORMAT</w:instrText>
    </w:r>
    <w:r>
      <w:fldChar w:fldCharType="separate"/>
    </w:r>
    <w:r>
      <w:rPr>
        <w:lang w:val="zh-CN"/>
      </w:rPr>
      <w:t>9</w:t>
    </w:r>
    <w:r>
      <w:rPr>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5MGNmYzRjNGMwMDliMjc0YTFhMzU4NTllNGY4NmIifQ=="/>
  </w:docVars>
  <w:rsids>
    <w:rsidRoot w:val="00052B4A"/>
    <w:rsid w:val="00052B4A"/>
    <w:rsid w:val="00076252"/>
    <w:rsid w:val="000C0E75"/>
    <w:rsid w:val="000F647F"/>
    <w:rsid w:val="00102CDE"/>
    <w:rsid w:val="00110D9D"/>
    <w:rsid w:val="0011222F"/>
    <w:rsid w:val="0018480D"/>
    <w:rsid w:val="0030443D"/>
    <w:rsid w:val="00306AE5"/>
    <w:rsid w:val="00372ECB"/>
    <w:rsid w:val="003C434C"/>
    <w:rsid w:val="003E3FEF"/>
    <w:rsid w:val="003F58EE"/>
    <w:rsid w:val="004312E3"/>
    <w:rsid w:val="0048183A"/>
    <w:rsid w:val="004D2E84"/>
    <w:rsid w:val="00500491"/>
    <w:rsid w:val="0051509E"/>
    <w:rsid w:val="00594399"/>
    <w:rsid w:val="006C1F05"/>
    <w:rsid w:val="006E0421"/>
    <w:rsid w:val="007532F2"/>
    <w:rsid w:val="00775E74"/>
    <w:rsid w:val="007C031F"/>
    <w:rsid w:val="0084216A"/>
    <w:rsid w:val="00877F69"/>
    <w:rsid w:val="008B6445"/>
    <w:rsid w:val="00903566"/>
    <w:rsid w:val="00987DA0"/>
    <w:rsid w:val="009D7C76"/>
    <w:rsid w:val="00AB5FA1"/>
    <w:rsid w:val="00B003A8"/>
    <w:rsid w:val="00B754A2"/>
    <w:rsid w:val="00C44406"/>
    <w:rsid w:val="00C52C31"/>
    <w:rsid w:val="00C620B7"/>
    <w:rsid w:val="00C929CA"/>
    <w:rsid w:val="00CA7615"/>
    <w:rsid w:val="00CB44EE"/>
    <w:rsid w:val="00D43310"/>
    <w:rsid w:val="00DC7A56"/>
    <w:rsid w:val="00E048A2"/>
    <w:rsid w:val="00E27DCF"/>
    <w:rsid w:val="00E90C62"/>
    <w:rsid w:val="00F2266D"/>
    <w:rsid w:val="00FB5F24"/>
    <w:rsid w:val="04497378"/>
    <w:rsid w:val="04657F2A"/>
    <w:rsid w:val="052851DF"/>
    <w:rsid w:val="08615713"/>
    <w:rsid w:val="0D032FEB"/>
    <w:rsid w:val="0DC40933"/>
    <w:rsid w:val="10A73DA4"/>
    <w:rsid w:val="17A74689"/>
    <w:rsid w:val="1A236E6C"/>
    <w:rsid w:val="1F780145"/>
    <w:rsid w:val="25D21A1C"/>
    <w:rsid w:val="2736499D"/>
    <w:rsid w:val="27D33279"/>
    <w:rsid w:val="2FFD0E93"/>
    <w:rsid w:val="310F0A44"/>
    <w:rsid w:val="324F5BF1"/>
    <w:rsid w:val="33024A12"/>
    <w:rsid w:val="341E25DD"/>
    <w:rsid w:val="344D4B67"/>
    <w:rsid w:val="36617CA1"/>
    <w:rsid w:val="3A2317DB"/>
    <w:rsid w:val="3C776471"/>
    <w:rsid w:val="3E2D5039"/>
    <w:rsid w:val="3F866C87"/>
    <w:rsid w:val="42707E35"/>
    <w:rsid w:val="42C41CE4"/>
    <w:rsid w:val="453A6D9C"/>
    <w:rsid w:val="478F3EA8"/>
    <w:rsid w:val="47C52A01"/>
    <w:rsid w:val="49DE18DD"/>
    <w:rsid w:val="4F920DBB"/>
    <w:rsid w:val="53420F93"/>
    <w:rsid w:val="53DA4EC3"/>
    <w:rsid w:val="567710EF"/>
    <w:rsid w:val="56CD51B3"/>
    <w:rsid w:val="5787570C"/>
    <w:rsid w:val="5E575339"/>
    <w:rsid w:val="5EDC5DCF"/>
    <w:rsid w:val="64373C6C"/>
    <w:rsid w:val="64966BE4"/>
    <w:rsid w:val="66D47E98"/>
    <w:rsid w:val="681A7B2C"/>
    <w:rsid w:val="686231A1"/>
    <w:rsid w:val="68B81FBB"/>
    <w:rsid w:val="6A107439"/>
    <w:rsid w:val="6C0F12D1"/>
    <w:rsid w:val="717A163C"/>
    <w:rsid w:val="7AAB2D53"/>
    <w:rsid w:val="7D594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1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Body Text"/>
    <w:basedOn w:val="1"/>
    <w:link w:val="17"/>
    <w:qFormat/>
    <w:uiPriority w:val="0"/>
    <w:rPr>
      <w:rFonts w:ascii="仿宋_GB2312" w:hAnsi="宋体" w:eastAsia="仿宋_GB2312"/>
      <w:sz w:val="32"/>
      <w:szCs w:val="28"/>
    </w:rPr>
  </w:style>
  <w:style w:type="paragraph" w:styleId="4">
    <w:name w:val="Document Map"/>
    <w:basedOn w:val="1"/>
    <w:link w:val="20"/>
    <w:semiHidden/>
    <w:unhideWhenUsed/>
    <w:qFormat/>
    <w:uiPriority w:val="99"/>
    <w:rPr>
      <w:rFonts w:ascii="宋体"/>
      <w:sz w:val="18"/>
      <w:szCs w:val="18"/>
    </w:rPr>
  </w:style>
  <w:style w:type="paragraph" w:styleId="5">
    <w:name w:val="annotation text"/>
    <w:basedOn w:val="1"/>
    <w:link w:val="24"/>
    <w:qFormat/>
    <w:uiPriority w:val="0"/>
    <w:pPr>
      <w:jc w:val="left"/>
    </w:pPr>
  </w:style>
  <w:style w:type="paragraph" w:styleId="6">
    <w:name w:val="footer"/>
    <w:basedOn w:val="1"/>
    <w:link w:val="22"/>
    <w:unhideWhenUsed/>
    <w:qFormat/>
    <w:uiPriority w:val="99"/>
    <w:pPr>
      <w:tabs>
        <w:tab w:val="center" w:pos="4153"/>
        <w:tab w:val="right" w:pos="8306"/>
      </w:tabs>
      <w:snapToGrid w:val="0"/>
      <w:jc w:val="left"/>
    </w:pPr>
    <w:rPr>
      <w:sz w:val="18"/>
      <w:szCs w:val="18"/>
    </w:rPr>
  </w:style>
  <w:style w:type="paragraph" w:styleId="7">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List"/>
    <w:basedOn w:val="1"/>
    <w:qFormat/>
    <w:uiPriority w:val="0"/>
    <w:pPr>
      <w:autoSpaceDE w:val="0"/>
      <w:autoSpaceDN w:val="0"/>
      <w:adjustRightInd w:val="0"/>
      <w:ind w:left="360" w:hanging="360"/>
      <w:jc w:val="left"/>
      <w:textAlignment w:val="baseline"/>
    </w:pPr>
    <w:rPr>
      <w:kern w:val="0"/>
      <w:sz w:val="20"/>
      <w:szCs w:val="20"/>
    </w:rPr>
  </w:style>
  <w:style w:type="paragraph" w:styleId="9">
    <w:name w:val="footnote text"/>
    <w:basedOn w:val="1"/>
    <w:semiHidden/>
    <w:unhideWhenUsed/>
    <w:qFormat/>
    <w:uiPriority w:val="99"/>
    <w:pPr>
      <w:snapToGrid w:val="0"/>
      <w:jc w:val="left"/>
    </w:pPr>
    <w:rPr>
      <w:sz w:val="18"/>
      <w:szCs w:val="18"/>
    </w:rPr>
  </w:style>
  <w:style w:type="paragraph" w:styleId="10">
    <w:name w:val="Normal (Web)"/>
    <w:basedOn w:val="1"/>
    <w:semiHidden/>
    <w:unhideWhenUsed/>
    <w:qFormat/>
    <w:uiPriority w:val="99"/>
    <w:rPr>
      <w:sz w:val="24"/>
    </w:rPr>
  </w:style>
  <w:style w:type="character" w:styleId="13">
    <w:name w:val="page number"/>
    <w:qFormat/>
    <w:uiPriority w:val="0"/>
  </w:style>
  <w:style w:type="character" w:styleId="14">
    <w:name w:val="Hyperlink"/>
    <w:basedOn w:val="12"/>
    <w:semiHidden/>
    <w:unhideWhenUsed/>
    <w:qFormat/>
    <w:uiPriority w:val="99"/>
    <w:rPr>
      <w:color w:val="0000FF"/>
      <w:u w:val="single"/>
    </w:rPr>
  </w:style>
  <w:style w:type="character" w:styleId="15">
    <w:name w:val="annotation reference"/>
    <w:basedOn w:val="12"/>
    <w:qFormat/>
    <w:uiPriority w:val="0"/>
    <w:rPr>
      <w:sz w:val="21"/>
      <w:szCs w:val="21"/>
    </w:rPr>
  </w:style>
  <w:style w:type="character" w:styleId="16">
    <w:name w:val="footnote reference"/>
    <w:basedOn w:val="12"/>
    <w:semiHidden/>
    <w:unhideWhenUsed/>
    <w:qFormat/>
    <w:uiPriority w:val="99"/>
    <w:rPr>
      <w:vertAlign w:val="superscript"/>
    </w:rPr>
  </w:style>
  <w:style w:type="character" w:customStyle="1" w:styleId="17">
    <w:name w:val="正文文本 字符"/>
    <w:basedOn w:val="12"/>
    <w:link w:val="2"/>
    <w:qFormat/>
    <w:uiPriority w:val="0"/>
    <w:rPr>
      <w:rFonts w:ascii="仿宋_GB2312" w:hAnsi="宋体" w:eastAsia="仿宋_GB2312" w:cs="Times New Roman"/>
      <w:sz w:val="32"/>
      <w:szCs w:val="28"/>
    </w:rPr>
  </w:style>
  <w:style w:type="paragraph" w:customStyle="1" w:styleId="18">
    <w:name w:val="样式 标题 2 + Times New Roman 四号 非加粗 段前: 5 磅 段后: 0 磅 行距: 固定值 20..."/>
    <w:basedOn w:val="3"/>
    <w:qFormat/>
    <w:uiPriority w:val="0"/>
    <w:pPr>
      <w:spacing w:before="100" w:after="0" w:line="400" w:lineRule="exact"/>
    </w:pPr>
    <w:rPr>
      <w:rFonts w:ascii="Times New Roman" w:hAnsi="Times New Roman" w:eastAsia="黑体" w:cs="宋体"/>
      <w:b w:val="0"/>
      <w:bCs w:val="0"/>
      <w:sz w:val="28"/>
      <w:szCs w:val="20"/>
    </w:rPr>
  </w:style>
  <w:style w:type="character" w:customStyle="1" w:styleId="19">
    <w:name w:val="标题 2 字符"/>
    <w:basedOn w:val="12"/>
    <w:link w:val="3"/>
    <w:semiHidden/>
    <w:qFormat/>
    <w:uiPriority w:val="9"/>
    <w:rPr>
      <w:rFonts w:asciiTheme="majorHAnsi" w:hAnsiTheme="majorHAnsi" w:eastAsiaTheme="majorEastAsia" w:cstheme="majorBidi"/>
      <w:b/>
      <w:bCs/>
      <w:sz w:val="32"/>
      <w:szCs w:val="32"/>
    </w:rPr>
  </w:style>
  <w:style w:type="character" w:customStyle="1" w:styleId="20">
    <w:name w:val="文档结构图 字符"/>
    <w:basedOn w:val="12"/>
    <w:link w:val="4"/>
    <w:semiHidden/>
    <w:qFormat/>
    <w:uiPriority w:val="99"/>
    <w:rPr>
      <w:rFonts w:ascii="宋体" w:hAnsi="Times New Roman" w:eastAsia="宋体" w:cs="Times New Roman"/>
      <w:sz w:val="18"/>
      <w:szCs w:val="18"/>
    </w:rPr>
  </w:style>
  <w:style w:type="character" w:customStyle="1" w:styleId="21">
    <w:name w:val="页眉 字符"/>
    <w:basedOn w:val="12"/>
    <w:link w:val="7"/>
    <w:qFormat/>
    <w:uiPriority w:val="99"/>
    <w:rPr>
      <w:rFonts w:ascii="Times New Roman" w:hAnsi="Times New Roman" w:eastAsia="宋体" w:cs="Times New Roman"/>
      <w:sz w:val="18"/>
      <w:szCs w:val="18"/>
    </w:rPr>
  </w:style>
  <w:style w:type="character" w:customStyle="1" w:styleId="22">
    <w:name w:val="页脚 字符"/>
    <w:basedOn w:val="12"/>
    <w:link w:val="6"/>
    <w:qFormat/>
    <w:uiPriority w:val="99"/>
    <w:rPr>
      <w:rFonts w:ascii="Times New Roman" w:hAnsi="Times New Roman" w:eastAsia="宋体" w:cs="Times New Roman"/>
      <w:sz w:val="18"/>
      <w:szCs w:val="18"/>
    </w:rPr>
  </w:style>
  <w:style w:type="character" w:customStyle="1" w:styleId="23">
    <w:name w:val="批注文字 字符"/>
    <w:basedOn w:val="12"/>
    <w:semiHidden/>
    <w:qFormat/>
    <w:uiPriority w:val="99"/>
    <w:rPr>
      <w:rFonts w:ascii="Times New Roman" w:hAnsi="Times New Roman" w:eastAsia="宋体" w:cs="Times New Roman"/>
      <w:szCs w:val="24"/>
    </w:rPr>
  </w:style>
  <w:style w:type="character" w:customStyle="1" w:styleId="24">
    <w:name w:val="批注文字 字符1"/>
    <w:basedOn w:val="12"/>
    <w:link w:val="5"/>
    <w:qFormat/>
    <w:uiPriority w:val="0"/>
    <w:rPr>
      <w:rFonts w:ascii="Times New Roman" w:hAnsi="Times New Roman" w:eastAsia="宋体" w:cs="Times New Roman"/>
      <w:szCs w:val="24"/>
    </w:rPr>
  </w:style>
  <w:style w:type="character" w:customStyle="1" w:styleId="25">
    <w:name w:val="15"/>
    <w:basedOn w:val="12"/>
    <w:qFormat/>
    <w:uiPriority w:val="0"/>
    <w:rPr>
      <w:rFonts w:hint="default" w:ascii="Times New Roman" w:hAnsi="Times New Roman" w:cs="Times New Roman"/>
    </w:rPr>
  </w:style>
  <w:style w:type="paragraph" w:customStyle="1" w:styleId="26">
    <w:name w:val="样式 正文小四wg + 首行缩进:  2 字符"/>
    <w:basedOn w:val="1"/>
    <w:qFormat/>
    <w:uiPriority w:val="0"/>
    <w:pPr>
      <w:autoSpaceDE w:val="0"/>
      <w:autoSpaceDN w:val="0"/>
      <w:adjustRightInd w:val="0"/>
      <w:ind w:firstLine="200" w:firstLineChars="200"/>
    </w:pPr>
    <w:rPr>
      <w:rFonts w:ascii="仿宋_GB2312" w:hAnsi="宋体" w:eastAsia="仿宋_GB2312" w:cs="宋体"/>
      <w:color w:val="000000"/>
      <w:kern w:val="20"/>
      <w:sz w:val="24"/>
      <w:szCs w:val="20"/>
    </w:rPr>
  </w:style>
  <w:style w:type="character" w:customStyle="1" w:styleId="27">
    <w:name w:val="正文文本 字符1"/>
    <w:qFormat/>
    <w:uiPriority w:val="0"/>
    <w:rPr>
      <w:rFonts w:ascii="仿宋_GB2312" w:hAnsi="宋体" w:eastAsia="仿宋_GB2312"/>
      <w:kern w:val="2"/>
      <w:sz w:val="32"/>
      <w:szCs w:val="28"/>
    </w:rPr>
  </w:style>
  <w:style w:type="paragraph" w:customStyle="1" w:styleId="28">
    <w:name w:val="正文 含缩进"/>
    <w:basedOn w:val="1"/>
    <w:qFormat/>
    <w:uiPriority w:val="0"/>
    <w:pPr>
      <w:ind w:firstLine="424" w:firstLineChars="202"/>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3251</Words>
  <Characters>3691</Characters>
  <Lines>27</Lines>
  <Paragraphs>7</Paragraphs>
  <TotalTime>8</TotalTime>
  <ScaleCrop>false</ScaleCrop>
  <LinksUpToDate>false</LinksUpToDate>
  <CharactersWithSpaces>3772</CharactersWithSpaces>
  <Application>WPS Office_11.1.0.12759_F1E327BC-269C-435d-A152-05C5408002CA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2022-02-16T06:49:00Z</dcterms:created>
  <dc:creator>Think</dc:creator>
  <cp:lastModifiedBy>lenovo</cp:lastModifiedBy>
  <cp:lastPrinted>2022-03-04T07:35:00Z</cp:lastPrinted>
  <dcterms:modified xsi:type="dcterms:W3CDTF">2022-11-01T02:14:26Z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2052-11.1.0.12759</vt:lpwstr>
  </property>
  <property fmtid="{D5CDD505-2E9C-101B-9397-08002B2CF9AE}" pid="3" name="ICV">
    <vt:lpwstr>320C6BF325444E66B32EA4B0A62B779F</vt:lpwstr>
  </property>
</Properties>
</file>