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b/>
          <w:bCs/>
          <w:sz w:val="30"/>
          <w:szCs w:val="30"/>
        </w:rPr>
      </w:pPr>
      <w:bookmarkStart w:id="0" w:name="_Hlk148342758"/>
      <w:bookmarkStart w:id="1" w:name="_Hlk97135857"/>
      <w:r>
        <w:rPr>
          <w:rFonts w:hint="eastAsia"/>
          <w:b/>
          <w:bCs/>
          <w:sz w:val="30"/>
          <w:szCs w:val="30"/>
        </w:rPr>
        <w:t>武广高铁CI-TC 板升级整治</w:t>
      </w:r>
      <w:r>
        <w:rPr>
          <w:rFonts w:hint="eastAsia"/>
          <w:b/>
          <w:bCs/>
          <w:sz w:val="30"/>
          <w:szCs w:val="30"/>
          <w:lang w:val="en-US" w:eastAsia="zh-CN"/>
        </w:rPr>
        <w:t>二次</w:t>
      </w:r>
      <w:r>
        <w:rPr>
          <w:rFonts w:hint="eastAsia"/>
          <w:b/>
          <w:bCs/>
          <w:sz w:val="30"/>
          <w:szCs w:val="30"/>
        </w:rPr>
        <w:t>招标</w:t>
      </w:r>
      <w:bookmarkEnd w:id="0"/>
      <w:r>
        <w:rPr>
          <w:rFonts w:hint="eastAsia"/>
          <w:b/>
          <w:bCs/>
          <w:sz w:val="30"/>
          <w:szCs w:val="30"/>
        </w:rPr>
        <w:t>公告</w:t>
      </w:r>
    </w:p>
    <w:p>
      <w:pPr>
        <w:spacing w:line="360" w:lineRule="auto"/>
        <w:ind w:firstLine="2880" w:firstLineChars="1200"/>
        <w:jc w:val="left"/>
        <w:rPr>
          <w:rFonts w:eastAsia="黑体"/>
          <w:sz w:val="24"/>
        </w:rPr>
      </w:pPr>
      <w:r>
        <w:rPr>
          <w:rFonts w:eastAsia="黑体"/>
          <w:sz w:val="24"/>
        </w:rPr>
        <w:t>招标编号：DWFW-2023-2</w:t>
      </w:r>
    </w:p>
    <w:p>
      <w:pPr>
        <w:pStyle w:val="33"/>
        <w:spacing w:before="156" w:beforeLines="50" w:after="156" w:afterLines="50"/>
        <w:outlineLvl w:val="0"/>
        <w:rPr>
          <w:rFonts w:ascii="Times New Roman" w:hAnsi="Times New Roman" w:eastAsia="黑体" w:cs="Times New Roman"/>
          <w:b w:val="0"/>
          <w:bCs w:val="0"/>
          <w:color w:val="auto"/>
          <w:sz w:val="28"/>
          <w:szCs w:val="28"/>
        </w:rPr>
      </w:pPr>
      <w:bookmarkStart w:id="2" w:name="_Toc62572665"/>
      <w:bookmarkStart w:id="3" w:name="_Toc59609108"/>
      <w:bookmarkStart w:id="4" w:name="_Toc128733467"/>
      <w:r>
        <w:rPr>
          <w:rFonts w:ascii="Times New Roman" w:hAnsi="Times New Roman" w:eastAsia="黑体" w:cs="Times New Roman"/>
          <w:b w:val="0"/>
          <w:bCs w:val="0"/>
          <w:color w:val="auto"/>
          <w:sz w:val="28"/>
          <w:szCs w:val="28"/>
        </w:rPr>
        <w:t>1. 招标条件</w:t>
      </w:r>
      <w:bookmarkEnd w:id="2"/>
      <w:bookmarkEnd w:id="3"/>
      <w:bookmarkEnd w:id="4"/>
    </w:p>
    <w:p>
      <w:pPr>
        <w:adjustRightInd w:val="0"/>
        <w:snapToGrid w:val="0"/>
        <w:spacing w:line="360" w:lineRule="exact"/>
        <w:ind w:firstLine="420" w:firstLineChars="200"/>
        <w:rPr>
          <w:rFonts w:ascii="宋体" w:hAnsi="宋体" w:cs="宋体"/>
          <w:u w:val="single"/>
        </w:rPr>
      </w:pPr>
      <w:r>
        <w:rPr>
          <w:rFonts w:ascii="宋体" w:hAnsi="宋体"/>
          <w:szCs w:val="21"/>
        </w:rPr>
        <w:t>本招标项目</w:t>
      </w:r>
      <w:r>
        <w:rPr>
          <w:rFonts w:hint="eastAsia"/>
          <w:szCs w:val="21"/>
          <w:u w:val="single"/>
        </w:rPr>
        <w:t>武广高铁CI-TC 板升级整治</w:t>
      </w:r>
      <w:r>
        <w:rPr>
          <w:rFonts w:ascii="宋体" w:hAnsi="宋体"/>
          <w:szCs w:val="21"/>
        </w:rPr>
        <w:t>已由</w:t>
      </w:r>
      <w:r>
        <w:rPr>
          <w:rFonts w:hint="eastAsia" w:ascii="宋体" w:hAnsi="宋体" w:cs="宋体"/>
          <w:u w:val="single"/>
        </w:rPr>
        <w:t>《关于启动实施第二批设备专项整治及第三批安全生产费使用项目的通知》（财函〔2023〕33号），</w:t>
      </w:r>
      <w:r>
        <w:rPr>
          <w:rFonts w:hint="eastAsia" w:ascii="宋体" w:hAnsi="宋体" w:cs="宋体"/>
        </w:rPr>
        <w:t>批准建设</w:t>
      </w:r>
      <w:r>
        <w:rPr>
          <w:rFonts w:ascii="宋体" w:hAnsi="宋体"/>
          <w:szCs w:val="21"/>
        </w:rPr>
        <w:t>，项目业主为</w:t>
      </w:r>
      <w:r>
        <w:rPr>
          <w:rFonts w:hint="eastAsia"/>
          <w:szCs w:val="21"/>
          <w:u w:val="single"/>
        </w:rPr>
        <w:t>广深铁路股份公司广州电务段</w:t>
      </w:r>
      <w:r>
        <w:rPr>
          <w:rFonts w:ascii="宋体" w:hAnsi="宋体"/>
          <w:szCs w:val="21"/>
        </w:rPr>
        <w:t>，建设资金来自</w:t>
      </w:r>
      <w:r>
        <w:rPr>
          <w:rFonts w:hint="eastAsia" w:ascii="宋体" w:hAnsi="宋体"/>
          <w:szCs w:val="21"/>
          <w:u w:val="single"/>
        </w:rPr>
        <w:t>财务成本</w:t>
      </w:r>
      <w:r>
        <w:rPr>
          <w:rFonts w:ascii="宋体" w:hAnsi="宋体"/>
          <w:szCs w:val="21"/>
        </w:rPr>
        <w:t>，出资比例为</w:t>
      </w:r>
      <w:r>
        <w:rPr>
          <w:rFonts w:hint="eastAsia" w:ascii="宋体" w:hAnsi="宋体"/>
          <w:szCs w:val="21"/>
          <w:u w:val="single"/>
        </w:rPr>
        <w:t>100%</w:t>
      </w:r>
      <w:r>
        <w:rPr>
          <w:rFonts w:ascii="宋体" w:hAnsi="宋体"/>
          <w:szCs w:val="21"/>
          <w:u w:val="single"/>
        </w:rPr>
        <w:t xml:space="preserve"> </w:t>
      </w:r>
      <w:r>
        <w:rPr>
          <w:rFonts w:ascii="宋体" w:hAnsi="宋体"/>
          <w:szCs w:val="21"/>
        </w:rPr>
        <w:t>，招标人为</w:t>
      </w:r>
      <w:r>
        <w:rPr>
          <w:rFonts w:hint="eastAsia"/>
          <w:szCs w:val="21"/>
          <w:u w:val="single"/>
        </w:rPr>
        <w:t>广深铁路股份公司广州电务段</w:t>
      </w:r>
      <w:r>
        <w:rPr>
          <w:rFonts w:ascii="宋体" w:hAnsi="宋体"/>
          <w:szCs w:val="21"/>
        </w:rPr>
        <w:t>。项目</w:t>
      </w:r>
      <w:r>
        <w:rPr>
          <w:rFonts w:hint="eastAsia" w:ascii="宋体" w:hAnsi="宋体"/>
          <w:szCs w:val="21"/>
        </w:rPr>
        <w:t>已具备招标条件，现进行公开</w:t>
      </w:r>
      <w:r>
        <w:rPr>
          <w:rFonts w:hint="eastAsia" w:ascii="宋体" w:hAnsi="宋体"/>
          <w:szCs w:val="21"/>
          <w:lang w:val="en-US" w:eastAsia="zh-CN"/>
        </w:rPr>
        <w:t>二次</w:t>
      </w:r>
      <w:r>
        <w:rPr>
          <w:rFonts w:hint="eastAsia" w:ascii="宋体" w:hAnsi="宋体"/>
          <w:szCs w:val="21"/>
        </w:rPr>
        <w:t>招标，特邀请有意向的潜在投标人（以下简称投标人）投标。</w:t>
      </w:r>
    </w:p>
    <w:p>
      <w:pPr>
        <w:pStyle w:val="33"/>
        <w:spacing w:before="156" w:beforeLines="50" w:after="156" w:afterLines="50"/>
        <w:outlineLvl w:val="0"/>
        <w:rPr>
          <w:rFonts w:ascii="Times New Roman" w:hAnsi="Times New Roman" w:eastAsia="黑体" w:cs="Times New Roman"/>
          <w:b w:val="0"/>
          <w:bCs w:val="0"/>
          <w:color w:val="auto"/>
          <w:sz w:val="28"/>
          <w:szCs w:val="28"/>
        </w:rPr>
      </w:pPr>
      <w:bookmarkStart w:id="5" w:name="_Toc62572666"/>
      <w:bookmarkStart w:id="6" w:name="_Toc59609109"/>
      <w:bookmarkStart w:id="7" w:name="_Toc128733468"/>
      <w:r>
        <w:rPr>
          <w:rFonts w:ascii="Times New Roman" w:hAnsi="Times New Roman" w:eastAsia="黑体" w:cs="Times New Roman"/>
          <w:b w:val="0"/>
          <w:bCs w:val="0"/>
          <w:color w:val="auto"/>
          <w:sz w:val="28"/>
          <w:szCs w:val="28"/>
        </w:rPr>
        <w:t>2. 项目概况与招标范围</w:t>
      </w:r>
      <w:bookmarkEnd w:id="5"/>
      <w:bookmarkEnd w:id="6"/>
      <w:bookmarkEnd w:id="7"/>
    </w:p>
    <w:p>
      <w:pPr>
        <w:adjustRightInd w:val="0"/>
        <w:snapToGrid w:val="0"/>
        <w:spacing w:line="360" w:lineRule="exact"/>
        <w:ind w:firstLine="420" w:firstLineChars="200"/>
        <w:rPr>
          <w:szCs w:val="21"/>
        </w:rPr>
      </w:pPr>
      <w:r>
        <w:rPr>
          <w:szCs w:val="21"/>
        </w:rPr>
        <w:t>2.1 建设项目地点：</w:t>
      </w:r>
      <w:r>
        <w:rPr>
          <w:rFonts w:hint="eastAsia" w:ascii="宋体" w:hAnsi="宋体" w:cs="宋体"/>
        </w:rPr>
        <w:t>武广高铁各站。</w:t>
      </w:r>
    </w:p>
    <w:p>
      <w:pPr>
        <w:wordWrap w:val="0"/>
        <w:adjustRightInd w:val="0"/>
        <w:snapToGrid w:val="0"/>
        <w:spacing w:line="360" w:lineRule="auto"/>
        <w:ind w:firstLine="420" w:firstLineChars="200"/>
        <w:rPr>
          <w:szCs w:val="21"/>
        </w:rPr>
      </w:pPr>
      <w:r>
        <w:rPr>
          <w:szCs w:val="21"/>
        </w:rPr>
        <w:t>2.2 建设项目规模：</w:t>
      </w:r>
    </w:p>
    <w:p>
      <w:pPr>
        <w:wordWrap w:val="0"/>
        <w:adjustRightInd w:val="0"/>
        <w:snapToGrid w:val="0"/>
        <w:spacing w:line="360" w:lineRule="auto"/>
        <w:ind w:firstLine="840" w:firstLineChars="400"/>
      </w:pPr>
      <w:r>
        <w:rPr>
          <w:rFonts w:hint="eastAsia"/>
        </w:rPr>
        <w:t xml:space="preserve">武广高铁（中继站38、中继站39、中继站40、乐昌东站、中继站41、中继站42、韶关站、中继站43、中继站44、中继站45、中继站46、英德西站、中继站47、中继站48、中继站49、清远站、中继站50、中继站51、中继站52、中继站53、广州南站、广州动车段共22 个站）CI-TC 板升级整治。  </w:t>
      </w:r>
    </w:p>
    <w:p>
      <w:pPr>
        <w:adjustRightInd w:val="0"/>
        <w:snapToGrid w:val="0"/>
        <w:spacing w:line="360" w:lineRule="exact"/>
        <w:ind w:firstLine="840" w:firstLineChars="400"/>
        <w:rPr>
          <w:szCs w:val="21"/>
        </w:rPr>
      </w:pPr>
      <w:r>
        <w:rPr>
          <w:rFonts w:hint="eastAsia"/>
          <w:szCs w:val="21"/>
        </w:rPr>
        <w:t>服务主要内容：武广高铁CI-TC 板升级整治（含运输、安装调试、售后等服务费用），由中标人提供周转备品，现场设备返厂进行软件升级和硬件改造，改造后设备返回现场调试安装。</w:t>
      </w:r>
    </w:p>
    <w:p>
      <w:pPr>
        <w:adjustRightInd w:val="0"/>
        <w:snapToGrid w:val="0"/>
        <w:spacing w:line="360" w:lineRule="exact"/>
        <w:ind w:firstLine="840" w:firstLineChars="400"/>
        <w:rPr>
          <w:szCs w:val="21"/>
        </w:rPr>
      </w:pPr>
      <w:r>
        <w:rPr>
          <w:rFonts w:hint="eastAsia"/>
          <w:szCs w:val="21"/>
        </w:rPr>
        <w:t>本项目为既有线施工，不得影响既有设备使用，不得耽误列车运行，施工安排在天窗内进行，施工后同步开通。根据《广州局集团公司铁路营业线施工管理细则》（广铁施工发〔2021〕100 号）、《广州局集团公司电务系统铁路营业线施工管理实施细则》（广铁电发〔2021〕96 号）规定执行，确保工程质量。</w:t>
      </w:r>
    </w:p>
    <w:p>
      <w:pPr>
        <w:wordWrap w:val="0"/>
        <w:adjustRightInd w:val="0"/>
        <w:snapToGrid w:val="0"/>
        <w:spacing w:line="360" w:lineRule="auto"/>
        <w:ind w:firstLine="420" w:firstLineChars="200"/>
        <w:rPr>
          <w:u w:val="single"/>
        </w:rPr>
      </w:pPr>
    </w:p>
    <w:p>
      <w:pPr>
        <w:adjustRightInd w:val="0"/>
        <w:snapToGrid w:val="0"/>
        <w:spacing w:line="360" w:lineRule="exact"/>
        <w:ind w:firstLine="420" w:firstLineChars="200"/>
        <w:rPr>
          <w:szCs w:val="21"/>
        </w:rPr>
      </w:pPr>
      <w:r>
        <w:rPr>
          <w:szCs w:val="21"/>
        </w:rPr>
        <w:t>2.3 计划工期：</w:t>
      </w:r>
      <w:r>
        <w:rPr>
          <w:rFonts w:hint="eastAsia"/>
          <w:szCs w:val="21"/>
        </w:rPr>
        <w:t>30日历天</w:t>
      </w:r>
      <w:r>
        <w:rPr>
          <w:szCs w:val="21"/>
        </w:rPr>
        <w:t>。</w:t>
      </w:r>
    </w:p>
    <w:p>
      <w:pPr>
        <w:adjustRightInd w:val="0"/>
        <w:snapToGrid w:val="0"/>
        <w:spacing w:line="360" w:lineRule="exact"/>
        <w:ind w:firstLine="420" w:firstLineChars="200"/>
        <w:rPr>
          <w:szCs w:val="21"/>
          <w:u w:val="single"/>
        </w:rPr>
      </w:pPr>
      <w:r>
        <w:rPr>
          <w:szCs w:val="21"/>
        </w:rPr>
        <w:t>2.4 招标范围：</w:t>
      </w:r>
      <w:r>
        <w:rPr>
          <w:rFonts w:hint="eastAsia"/>
          <w:u w:val="single"/>
        </w:rPr>
        <w:t>武广高铁CI-TC 板升级整治项目招标</w:t>
      </w:r>
      <w:r>
        <w:rPr>
          <w:rFonts w:hint="eastAsia"/>
          <w:szCs w:val="21"/>
          <w:u w:val="single"/>
        </w:rPr>
        <w:t>。</w:t>
      </w:r>
    </w:p>
    <w:p>
      <w:pPr>
        <w:adjustRightInd w:val="0"/>
        <w:snapToGrid w:val="0"/>
        <w:spacing w:line="360" w:lineRule="exact"/>
        <w:ind w:firstLine="420" w:firstLineChars="200"/>
        <w:rPr>
          <w:szCs w:val="21"/>
          <w:u w:val="single"/>
        </w:rPr>
      </w:pPr>
      <w:r>
        <w:rPr>
          <w:szCs w:val="21"/>
        </w:rPr>
        <w:t>2.5 标段划分共划分</w:t>
      </w:r>
      <w:r>
        <w:rPr>
          <w:rFonts w:hint="eastAsia"/>
          <w:szCs w:val="21"/>
          <w:u w:val="single"/>
        </w:rPr>
        <w:t>1</w:t>
      </w:r>
      <w:r>
        <w:rPr>
          <w:szCs w:val="21"/>
          <w:u w:val="single"/>
        </w:rPr>
        <w:t xml:space="preserve"> </w:t>
      </w:r>
      <w:r>
        <w:rPr>
          <w:szCs w:val="21"/>
        </w:rPr>
        <w:t>个标段。各标段情况如下：</w:t>
      </w:r>
      <w:r>
        <w:rPr>
          <w:rFonts w:hint="eastAsia"/>
          <w:szCs w:val="21"/>
        </w:rPr>
        <w:t>/</w:t>
      </w:r>
    </w:p>
    <w:p>
      <w:pPr>
        <w:adjustRightInd w:val="0"/>
        <w:snapToGrid w:val="0"/>
        <w:spacing w:line="360" w:lineRule="exact"/>
        <w:ind w:firstLine="420" w:firstLineChars="200"/>
        <w:rPr>
          <w:szCs w:val="21"/>
          <w:u w:val="single"/>
        </w:rPr>
      </w:pPr>
      <w:r>
        <w:rPr>
          <w:szCs w:val="21"/>
        </w:rPr>
        <w:t>2.6 其他：</w:t>
      </w:r>
      <w:bookmarkStart w:id="8" w:name="_Toc62572667"/>
      <w:bookmarkStart w:id="9" w:name="_Toc128733469"/>
      <w:bookmarkStart w:id="10" w:name="_Toc59609110"/>
      <w:r>
        <w:rPr>
          <w:rFonts w:hint="eastAsia"/>
          <w:szCs w:val="21"/>
          <w:u w:val="single"/>
        </w:rPr>
        <w:t>项目费用：含税119.78万元（税率6%）</w:t>
      </w:r>
    </w:p>
    <w:p>
      <w:pPr>
        <w:pStyle w:val="33"/>
        <w:spacing w:before="156" w:beforeLines="50" w:after="156" w:afterLines="50"/>
        <w:outlineLvl w:val="0"/>
        <w:rPr>
          <w:rFonts w:ascii="Times New Roman" w:hAnsi="Times New Roman" w:eastAsia="黑体" w:cs="Times New Roman"/>
          <w:b w:val="0"/>
          <w:bCs w:val="0"/>
          <w:color w:val="auto"/>
          <w:sz w:val="28"/>
          <w:szCs w:val="28"/>
        </w:rPr>
      </w:pPr>
      <w:r>
        <w:rPr>
          <w:rFonts w:ascii="Times New Roman" w:hAnsi="Times New Roman" w:eastAsia="黑体" w:cs="Times New Roman"/>
          <w:b w:val="0"/>
          <w:bCs w:val="0"/>
          <w:color w:val="auto"/>
          <w:sz w:val="28"/>
          <w:szCs w:val="28"/>
        </w:rPr>
        <w:t xml:space="preserve">3. </w:t>
      </w:r>
      <w:r>
        <w:rPr>
          <w:rFonts w:hint="eastAsia" w:ascii="Times New Roman" w:hAnsi="Times New Roman" w:eastAsia="黑体" w:cs="Times New Roman"/>
          <w:b w:val="0"/>
          <w:bCs w:val="0"/>
          <w:color w:val="auto"/>
          <w:sz w:val="28"/>
          <w:szCs w:val="28"/>
        </w:rPr>
        <w:t>投标</w:t>
      </w:r>
      <w:r>
        <w:rPr>
          <w:rFonts w:ascii="Times New Roman" w:hAnsi="Times New Roman" w:eastAsia="黑体" w:cs="Times New Roman"/>
          <w:b w:val="0"/>
          <w:bCs w:val="0"/>
          <w:color w:val="auto"/>
          <w:sz w:val="28"/>
          <w:szCs w:val="28"/>
        </w:rPr>
        <w:t>人资格要求</w:t>
      </w:r>
      <w:bookmarkEnd w:id="8"/>
      <w:bookmarkEnd w:id="9"/>
      <w:bookmarkEnd w:id="10"/>
    </w:p>
    <w:p>
      <w:pPr>
        <w:adjustRightInd w:val="0"/>
        <w:snapToGrid w:val="0"/>
        <w:spacing w:line="360" w:lineRule="exact"/>
        <w:ind w:firstLine="420" w:firstLineChars="200"/>
        <w:rPr>
          <w:rFonts w:ascii="宋体" w:hAnsi="宋体"/>
          <w:szCs w:val="21"/>
        </w:rPr>
      </w:pPr>
      <w:r>
        <w:rPr>
          <w:rFonts w:ascii="宋体" w:hAnsi="宋体"/>
          <w:szCs w:val="21"/>
        </w:rPr>
        <w:t>3.1本次</w:t>
      </w:r>
      <w:r>
        <w:rPr>
          <w:rFonts w:hint="eastAsia" w:ascii="宋体" w:hAnsi="宋体"/>
          <w:szCs w:val="21"/>
        </w:rPr>
        <w:t>投标</w:t>
      </w:r>
      <w:r>
        <w:rPr>
          <w:rFonts w:ascii="宋体" w:hAnsi="宋体"/>
          <w:szCs w:val="21"/>
        </w:rPr>
        <w:t>人应为在中华人民共和国境内合法注册的独立法人，并在资质、业绩、人员、设备方面具有相应的</w:t>
      </w:r>
      <w:r>
        <w:rPr>
          <w:rFonts w:hint="eastAsia" w:ascii="宋体" w:hAnsi="宋体"/>
          <w:szCs w:val="21"/>
        </w:rPr>
        <w:t>服务</w:t>
      </w:r>
      <w:r>
        <w:rPr>
          <w:rFonts w:ascii="宋体" w:hAnsi="宋体"/>
          <w:szCs w:val="21"/>
        </w:rPr>
        <w:t>能力。</w:t>
      </w:r>
    </w:p>
    <w:p>
      <w:pPr>
        <w:adjustRightInd w:val="0"/>
        <w:snapToGrid w:val="0"/>
        <w:spacing w:line="360" w:lineRule="exact"/>
        <w:ind w:firstLine="420" w:firstLineChars="200"/>
        <w:outlineLvl w:val="0"/>
        <w:rPr>
          <w:rFonts w:ascii="宋体" w:hAnsi="宋体"/>
          <w:szCs w:val="21"/>
        </w:rPr>
      </w:pPr>
      <w:bookmarkStart w:id="11" w:name="_Toc128733470"/>
      <w:r>
        <w:rPr>
          <w:rFonts w:ascii="宋体" w:hAnsi="宋体"/>
          <w:szCs w:val="21"/>
        </w:rPr>
        <w:t>3.1.1 标段编号：</w:t>
      </w:r>
      <w:r>
        <w:rPr>
          <w:rFonts w:hint="eastAsia"/>
          <w:szCs w:val="21"/>
          <w:u w:val="single"/>
        </w:rPr>
        <w:t>/</w:t>
      </w:r>
      <w:r>
        <w:rPr>
          <w:rFonts w:ascii="宋体" w:hAnsi="宋体"/>
          <w:szCs w:val="21"/>
          <w:u w:val="single"/>
        </w:rPr>
        <w:t xml:space="preserve"> </w:t>
      </w:r>
      <w:r>
        <w:rPr>
          <w:rFonts w:hint="eastAsia" w:ascii="宋体" w:hAnsi="宋体"/>
          <w:szCs w:val="21"/>
        </w:rPr>
        <w:t>。</w:t>
      </w:r>
      <w:bookmarkEnd w:id="11"/>
      <w:r>
        <w:rPr>
          <w:rFonts w:ascii="宋体" w:hAnsi="宋体"/>
          <w:szCs w:val="21"/>
        </w:rPr>
        <w:t xml:space="preserve"> </w:t>
      </w:r>
    </w:p>
    <w:p>
      <w:pPr>
        <w:adjustRightInd w:val="0"/>
        <w:snapToGrid w:val="0"/>
        <w:spacing w:line="360" w:lineRule="exact"/>
        <w:ind w:firstLine="420" w:firstLineChars="200"/>
        <w:rPr>
          <w:rFonts w:ascii="宋体" w:hAnsi="宋体"/>
          <w:szCs w:val="21"/>
          <w:u w:val="single"/>
        </w:rPr>
      </w:pPr>
      <w:r>
        <w:rPr>
          <w:rFonts w:ascii="宋体" w:hAnsi="宋体"/>
          <w:szCs w:val="21"/>
        </w:rPr>
        <w:t>（1）资质要求</w:t>
      </w:r>
      <w:r>
        <w:rPr>
          <w:rFonts w:hint="eastAsia" w:ascii="宋体" w:hAnsi="宋体"/>
          <w:szCs w:val="21"/>
          <w:u w:val="single"/>
        </w:rPr>
        <w:t>：投标人需取得设备原厂厂家制造商的授权，如未能提供原厂授权，则须承诺中标后取得原厂厂家制造商的授权，否则招标人有资格取消中标资格。(提供授权书或承诺函)。</w:t>
      </w:r>
    </w:p>
    <w:p>
      <w:pPr>
        <w:adjustRightInd w:val="0"/>
        <w:snapToGrid w:val="0"/>
        <w:spacing w:line="360" w:lineRule="exact"/>
        <w:ind w:firstLine="420" w:firstLineChars="200"/>
        <w:rPr>
          <w:rFonts w:ascii="宋体" w:hAnsi="宋体"/>
          <w:szCs w:val="21"/>
          <w:u w:val="single"/>
        </w:rPr>
      </w:pPr>
      <w:r>
        <w:rPr>
          <w:rFonts w:ascii="宋体" w:hAnsi="宋体"/>
          <w:szCs w:val="21"/>
        </w:rPr>
        <w:t>（2）业绩要求：</w:t>
      </w:r>
      <w:r>
        <w:rPr>
          <w:rFonts w:hint="eastAsia" w:ascii="宋体" w:hAnsi="宋体"/>
          <w:szCs w:val="21"/>
          <w:u w:val="single"/>
        </w:rPr>
        <w:t>截止递交投标文件之日前近五年内同类项目服务经验。（同类项目是指具运营时速250km/h 及以上铁路轨道电路或列控系统产品服务经验）。</w:t>
      </w:r>
      <w:r>
        <w:rPr>
          <w:rFonts w:ascii="宋体" w:hAnsi="宋体"/>
          <w:szCs w:val="21"/>
        </w:rPr>
        <w:t xml:space="preserve"> </w:t>
      </w:r>
    </w:p>
    <w:p>
      <w:pPr>
        <w:adjustRightInd w:val="0"/>
        <w:snapToGrid w:val="0"/>
        <w:spacing w:line="360" w:lineRule="exact"/>
        <w:ind w:firstLine="420" w:firstLineChars="200"/>
        <w:rPr>
          <w:rFonts w:ascii="宋体" w:hAnsi="宋体"/>
          <w:szCs w:val="21"/>
        </w:rPr>
      </w:pPr>
      <w:r>
        <w:rPr>
          <w:rFonts w:ascii="宋体" w:hAnsi="宋体"/>
          <w:szCs w:val="21"/>
        </w:rPr>
        <w:t>（3）本次</w:t>
      </w:r>
      <w:r>
        <w:rPr>
          <w:rFonts w:hint="eastAsia" w:ascii="宋体" w:hAnsi="宋体"/>
          <w:szCs w:val="21"/>
        </w:rPr>
        <w:t>招标</w:t>
      </w:r>
      <w:r>
        <w:rPr>
          <w:rFonts w:ascii="宋体" w:hAnsi="宋体"/>
          <w:szCs w:val="21"/>
          <w:u w:val="single"/>
        </w:rPr>
        <w:t>（不接受）</w:t>
      </w:r>
      <w:r>
        <w:rPr>
          <w:rFonts w:ascii="宋体" w:hAnsi="宋体"/>
          <w:szCs w:val="21"/>
        </w:rPr>
        <w:t>联合体</w:t>
      </w:r>
      <w:r>
        <w:rPr>
          <w:rFonts w:hint="eastAsia" w:ascii="宋体" w:hAnsi="宋体"/>
          <w:szCs w:val="21"/>
        </w:rPr>
        <w:t>投标</w:t>
      </w:r>
      <w:r>
        <w:rPr>
          <w:rFonts w:ascii="宋体" w:hAnsi="宋体"/>
          <w:szCs w:val="21"/>
        </w:rPr>
        <w:t>申请。联合体申请</w:t>
      </w:r>
      <w:r>
        <w:rPr>
          <w:rFonts w:hint="eastAsia" w:ascii="宋体" w:hAnsi="宋体"/>
          <w:szCs w:val="21"/>
        </w:rPr>
        <w:t>投标</w:t>
      </w:r>
      <w:r>
        <w:rPr>
          <w:rFonts w:ascii="宋体" w:hAnsi="宋体"/>
          <w:szCs w:val="21"/>
        </w:rPr>
        <w:t>的，应满足下列要求：</w:t>
      </w:r>
      <w:r>
        <w:rPr>
          <w:rFonts w:hint="eastAsia" w:ascii="宋体" w:hAnsi="宋体"/>
          <w:szCs w:val="21"/>
        </w:rPr>
        <w:t>/</w:t>
      </w:r>
      <w:r>
        <w:rPr>
          <w:rFonts w:ascii="宋体" w:hAnsi="宋体"/>
          <w:szCs w:val="21"/>
        </w:rPr>
        <w:t>_。</w:t>
      </w:r>
    </w:p>
    <w:p>
      <w:pPr>
        <w:adjustRightInd w:val="0"/>
        <w:snapToGrid w:val="0"/>
        <w:spacing w:line="360" w:lineRule="exact"/>
        <w:ind w:firstLine="420" w:firstLineChars="200"/>
        <w:outlineLvl w:val="0"/>
        <w:rPr>
          <w:rFonts w:ascii="宋体" w:hAnsi="宋体"/>
          <w:szCs w:val="21"/>
        </w:rPr>
      </w:pPr>
      <w:bookmarkStart w:id="12" w:name="_Toc128733471"/>
      <w:r>
        <w:rPr>
          <w:rFonts w:ascii="宋体" w:hAnsi="宋体"/>
          <w:szCs w:val="21"/>
        </w:rPr>
        <w:t>3.1.2 标段编号：</w:t>
      </w:r>
      <w:r>
        <w:rPr>
          <w:rFonts w:ascii="宋体" w:hAnsi="宋体"/>
          <w:szCs w:val="21"/>
          <w:u w:val="single"/>
        </w:rPr>
        <w:t xml:space="preserve"> </w:t>
      </w:r>
      <w:r>
        <w:rPr>
          <w:rFonts w:hint="eastAsia" w:ascii="宋体" w:hAnsi="宋体"/>
          <w:szCs w:val="21"/>
          <w:u w:val="single"/>
        </w:rPr>
        <w:t>/</w:t>
      </w:r>
      <w:r>
        <w:rPr>
          <w:rFonts w:ascii="宋体" w:hAnsi="宋体"/>
          <w:szCs w:val="21"/>
          <w:u w:val="single"/>
        </w:rPr>
        <w:t xml:space="preserve"> </w:t>
      </w:r>
      <w:r>
        <w:rPr>
          <w:rFonts w:hint="eastAsia" w:ascii="宋体" w:hAnsi="宋体"/>
          <w:szCs w:val="21"/>
        </w:rPr>
        <w:t>。</w:t>
      </w:r>
      <w:bookmarkEnd w:id="12"/>
    </w:p>
    <w:p>
      <w:pPr>
        <w:adjustRightInd w:val="0"/>
        <w:snapToGrid w:val="0"/>
        <w:spacing w:line="360" w:lineRule="exact"/>
        <w:ind w:firstLine="420" w:firstLineChars="200"/>
        <w:rPr>
          <w:rFonts w:ascii="宋体" w:hAnsi="宋体"/>
          <w:szCs w:val="21"/>
        </w:rPr>
      </w:pPr>
      <w:r>
        <w:rPr>
          <w:rFonts w:ascii="宋体" w:hAnsi="宋体"/>
          <w:szCs w:val="21"/>
        </w:rPr>
        <w:t>3.2</w:t>
      </w:r>
      <w:r>
        <w:rPr>
          <w:rFonts w:hint="eastAsia" w:ascii="宋体" w:hAnsi="宋体"/>
          <w:szCs w:val="21"/>
        </w:rPr>
        <w:t>投标</w:t>
      </w:r>
      <w:r>
        <w:rPr>
          <w:rFonts w:ascii="宋体" w:hAnsi="宋体"/>
          <w:szCs w:val="21"/>
        </w:rPr>
        <w:t>人不得存在下列情形之一：</w:t>
      </w:r>
    </w:p>
    <w:p>
      <w:pPr>
        <w:adjustRightInd w:val="0"/>
        <w:snapToGrid w:val="0"/>
        <w:spacing w:line="360" w:lineRule="exact"/>
        <w:ind w:firstLine="420" w:firstLineChars="200"/>
        <w:rPr>
          <w:rFonts w:ascii="宋体" w:hAnsi="宋体"/>
          <w:szCs w:val="21"/>
        </w:rPr>
      </w:pPr>
      <w:r>
        <w:rPr>
          <w:rFonts w:ascii="宋体" w:hAnsi="宋体"/>
          <w:szCs w:val="21"/>
        </w:rPr>
        <w:t>（1）在“信用中国”网站（www.creditchina.gov.cn）中被列入失信被执行人名单；</w:t>
      </w:r>
    </w:p>
    <w:p>
      <w:pPr>
        <w:adjustRightInd w:val="0"/>
        <w:snapToGrid w:val="0"/>
        <w:spacing w:line="360" w:lineRule="exact"/>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在国家企业信用信息公示系统（www.gsxt.gov.cn）中被列入严重违法失信企业名单；</w:t>
      </w:r>
    </w:p>
    <w:p>
      <w:pPr>
        <w:adjustRightInd w:val="0"/>
        <w:snapToGrid w:val="0"/>
        <w:spacing w:line="360" w:lineRule="exact"/>
        <w:ind w:firstLine="420" w:firstLineChars="200"/>
        <w:rPr>
          <w:rFonts w:ascii="宋体" w:hAnsi="宋体"/>
          <w:szCs w:val="21"/>
        </w:rPr>
      </w:pPr>
      <w:r>
        <w:rPr>
          <w:rFonts w:ascii="宋体" w:hAnsi="宋体"/>
          <w:szCs w:val="21"/>
        </w:rPr>
        <w:t>（3）</w:t>
      </w:r>
      <w:bookmarkStart w:id="13" w:name="_Hlk62481035"/>
      <w:r>
        <w:rPr>
          <w:rFonts w:hint="eastAsia" w:ascii="宋体" w:hAnsi="宋体"/>
          <w:szCs w:val="21"/>
        </w:rPr>
        <w:t>投标</w:t>
      </w:r>
      <w:bookmarkEnd w:id="13"/>
      <w:r>
        <w:rPr>
          <w:rFonts w:ascii="宋体" w:hAnsi="宋体"/>
          <w:szCs w:val="21"/>
        </w:rPr>
        <w:t>人及其投标所列主要服务人员被列入国家铁路局《铁路工程建设失信行为认定记录公布管理办法》“黑名单”且在公布期；</w:t>
      </w:r>
    </w:p>
    <w:p>
      <w:pPr>
        <w:adjustRightInd w:val="0"/>
        <w:snapToGrid w:val="0"/>
        <w:spacing w:line="360" w:lineRule="exact"/>
        <w:ind w:firstLine="420" w:firstLineChars="200"/>
        <w:rPr>
          <w:rFonts w:ascii="宋体" w:hAnsi="宋体"/>
          <w:szCs w:val="21"/>
        </w:rPr>
      </w:pPr>
      <w:r>
        <w:rPr>
          <w:rFonts w:ascii="宋体" w:hAnsi="宋体"/>
          <w:szCs w:val="21"/>
        </w:rPr>
        <w:t>（</w:t>
      </w:r>
      <w:r>
        <w:rPr>
          <w:rFonts w:hint="eastAsia" w:ascii="宋体" w:hAnsi="宋体"/>
          <w:szCs w:val="21"/>
        </w:rPr>
        <w:t>4</w:t>
      </w:r>
      <w:r>
        <w:rPr>
          <w:rFonts w:ascii="宋体" w:hAnsi="宋体"/>
          <w:szCs w:val="21"/>
        </w:rPr>
        <w:t>）</w:t>
      </w:r>
      <w:r>
        <w:rPr>
          <w:rFonts w:hint="eastAsia" w:ascii="宋体" w:hAnsi="宋体"/>
          <w:szCs w:val="21"/>
        </w:rPr>
        <w:t>投标</w:t>
      </w:r>
      <w:r>
        <w:rPr>
          <w:rFonts w:ascii="宋体" w:hAnsi="宋体"/>
          <w:szCs w:val="21"/>
        </w:rPr>
        <w:t>人及其法定代表人、拟委派的</w:t>
      </w:r>
      <w:r>
        <w:rPr>
          <w:rFonts w:hint="eastAsia" w:ascii="宋体" w:hAnsi="宋体"/>
          <w:szCs w:val="21"/>
        </w:rPr>
        <w:t>项目</w:t>
      </w:r>
      <w:r>
        <w:rPr>
          <w:rFonts w:ascii="宋体" w:hAnsi="宋体"/>
          <w:szCs w:val="21"/>
        </w:rPr>
        <w:t>负责人在近3年有行贿犯罪记录；</w:t>
      </w:r>
    </w:p>
    <w:p>
      <w:pPr>
        <w:adjustRightInd w:val="0"/>
        <w:snapToGrid w:val="0"/>
        <w:spacing w:line="360" w:lineRule="exact"/>
        <w:ind w:firstLine="420" w:firstLineChars="200"/>
        <w:rPr>
          <w:rFonts w:ascii="宋体" w:hAnsi="宋体"/>
          <w:szCs w:val="21"/>
        </w:rPr>
      </w:pPr>
      <w:r>
        <w:rPr>
          <w:rFonts w:ascii="宋体" w:hAnsi="宋体"/>
          <w:szCs w:val="21"/>
        </w:rPr>
        <w:t>（</w:t>
      </w:r>
      <w:r>
        <w:rPr>
          <w:rFonts w:hint="eastAsia" w:ascii="宋体" w:hAnsi="宋体"/>
          <w:szCs w:val="21"/>
        </w:rPr>
        <w:t>5</w:t>
      </w:r>
      <w:r>
        <w:rPr>
          <w:rFonts w:ascii="宋体" w:hAnsi="宋体"/>
          <w:szCs w:val="21"/>
        </w:rPr>
        <w:t>）</w:t>
      </w:r>
      <w:r>
        <w:rPr>
          <w:rFonts w:hint="eastAsia" w:ascii="宋体" w:hAnsi="宋体"/>
          <w:szCs w:val="21"/>
        </w:rPr>
        <w:t>投标</w:t>
      </w:r>
      <w:r>
        <w:rPr>
          <w:rFonts w:ascii="宋体" w:hAnsi="宋体"/>
          <w:szCs w:val="21"/>
        </w:rPr>
        <w:t>人处</w:t>
      </w:r>
      <w:r>
        <w:rPr>
          <w:rFonts w:hint="eastAsia" w:ascii="宋体" w:hAnsi="宋体"/>
          <w:szCs w:val="21"/>
        </w:rPr>
        <w:t>于</w:t>
      </w:r>
      <w:r>
        <w:rPr>
          <w:rFonts w:ascii="宋体" w:hAnsi="宋体"/>
          <w:szCs w:val="21"/>
        </w:rPr>
        <w:t>国铁集团有关停标通报的停标期限内；</w:t>
      </w:r>
    </w:p>
    <w:p>
      <w:pPr>
        <w:adjustRightInd w:val="0"/>
        <w:snapToGrid w:val="0"/>
        <w:spacing w:line="360" w:lineRule="exact"/>
        <w:ind w:firstLine="420" w:firstLineChars="200"/>
        <w:rPr>
          <w:rFonts w:ascii="宋体" w:hAnsi="宋体"/>
          <w:szCs w:val="21"/>
        </w:rPr>
      </w:pPr>
      <w:r>
        <w:rPr>
          <w:rFonts w:ascii="宋体" w:hAnsi="宋体"/>
          <w:szCs w:val="21"/>
        </w:rPr>
        <w:t>（</w:t>
      </w:r>
      <w:r>
        <w:rPr>
          <w:rFonts w:hint="eastAsia" w:ascii="宋体" w:hAnsi="宋体"/>
          <w:szCs w:val="21"/>
        </w:rPr>
        <w:t>6</w:t>
      </w:r>
      <w:r>
        <w:rPr>
          <w:rFonts w:ascii="宋体" w:hAnsi="宋体"/>
          <w:szCs w:val="21"/>
        </w:rPr>
        <w:t>）被纳入国铁集团“黑名单”且在公布期限内；</w:t>
      </w:r>
    </w:p>
    <w:p>
      <w:pPr>
        <w:adjustRightInd w:val="0"/>
        <w:snapToGrid w:val="0"/>
        <w:spacing w:line="360" w:lineRule="exact"/>
        <w:ind w:firstLine="420" w:firstLineChars="200"/>
        <w:rPr>
          <w:rFonts w:ascii="宋体" w:hAnsi="宋体"/>
          <w:szCs w:val="21"/>
        </w:rPr>
      </w:pPr>
      <w:r>
        <w:rPr>
          <w:rFonts w:ascii="宋体" w:hAnsi="宋体"/>
          <w:szCs w:val="21"/>
        </w:rPr>
        <w:t>（</w:t>
      </w:r>
      <w:r>
        <w:rPr>
          <w:rFonts w:hint="eastAsia" w:ascii="宋体" w:hAnsi="宋体"/>
          <w:szCs w:val="21"/>
        </w:rPr>
        <w:t>7</w:t>
      </w:r>
      <w:r>
        <w:rPr>
          <w:rFonts w:ascii="宋体" w:hAnsi="宋体"/>
          <w:szCs w:val="21"/>
        </w:rPr>
        <w:t>）</w:t>
      </w:r>
      <w:r>
        <w:rPr>
          <w:rFonts w:hint="eastAsia" w:ascii="宋体" w:hAnsi="宋体"/>
          <w:szCs w:val="21"/>
        </w:rPr>
        <w:t>投标</w:t>
      </w:r>
      <w:r>
        <w:rPr>
          <w:rFonts w:ascii="宋体" w:hAnsi="宋体"/>
          <w:szCs w:val="21"/>
        </w:rPr>
        <w:t>人处于国铁集团信用评价C级整改期；</w:t>
      </w:r>
    </w:p>
    <w:p>
      <w:pPr>
        <w:adjustRightInd w:val="0"/>
        <w:snapToGrid w:val="0"/>
        <w:spacing w:line="360" w:lineRule="exact"/>
        <w:ind w:firstLine="420" w:firstLineChars="200"/>
        <w:rPr>
          <w:rFonts w:ascii="宋体" w:hAnsi="宋体"/>
          <w:szCs w:val="21"/>
        </w:rPr>
      </w:pPr>
      <w:r>
        <w:rPr>
          <w:rFonts w:ascii="宋体" w:hAnsi="宋体"/>
          <w:szCs w:val="21"/>
        </w:rPr>
        <w:t>（</w:t>
      </w:r>
      <w:r>
        <w:rPr>
          <w:rFonts w:hint="eastAsia" w:ascii="宋体" w:hAnsi="宋体"/>
          <w:szCs w:val="21"/>
        </w:rPr>
        <w:t>8</w:t>
      </w:r>
      <w:r>
        <w:rPr>
          <w:rFonts w:ascii="宋体" w:hAnsi="宋体"/>
          <w:szCs w:val="21"/>
        </w:rPr>
        <w:t>）</w:t>
      </w:r>
      <w:r>
        <w:rPr>
          <w:rFonts w:hint="eastAsia" w:ascii="宋体" w:hAnsi="宋体"/>
          <w:szCs w:val="21"/>
        </w:rPr>
        <w:t>投标</w:t>
      </w:r>
      <w:r>
        <w:rPr>
          <w:rFonts w:ascii="宋体" w:hAnsi="宋体"/>
          <w:szCs w:val="21"/>
        </w:rPr>
        <w:t>文件中所列主要服务人员处于国铁集团重大不良行为公布期</w:t>
      </w:r>
      <w:r>
        <w:rPr>
          <w:rFonts w:hint="eastAsia" w:ascii="宋体" w:hAnsi="宋体"/>
          <w:szCs w:val="21"/>
        </w:rPr>
        <w:t>；</w:t>
      </w:r>
    </w:p>
    <w:p>
      <w:pPr>
        <w:adjustRightInd w:val="0"/>
        <w:snapToGrid w:val="0"/>
        <w:spacing w:line="360" w:lineRule="exact"/>
        <w:ind w:firstLine="420" w:firstLineChars="200"/>
        <w:rPr>
          <w:szCs w:val="21"/>
          <w:u w:val="single"/>
        </w:rPr>
      </w:pPr>
      <w:r>
        <w:rPr>
          <w:rFonts w:ascii="宋体" w:hAnsi="宋体"/>
          <w:szCs w:val="21"/>
        </w:rPr>
        <w:t>（</w:t>
      </w:r>
      <w:r>
        <w:rPr>
          <w:rFonts w:hint="eastAsia" w:ascii="宋体" w:hAnsi="宋体"/>
          <w:szCs w:val="21"/>
        </w:rPr>
        <w:t>9</w:t>
      </w:r>
      <w:r>
        <w:rPr>
          <w:rFonts w:ascii="宋体" w:hAnsi="宋体"/>
          <w:szCs w:val="21"/>
        </w:rPr>
        <w:t>）其他情形：</w:t>
      </w:r>
      <w:r>
        <w:rPr>
          <w:rFonts w:hint="eastAsia" w:ascii="宋体" w:hAnsi="宋体"/>
          <w:szCs w:val="21"/>
        </w:rPr>
        <w:t>文件中所列主要服务人员处于国铁集团“黑名单”执行期限内的。</w:t>
      </w:r>
    </w:p>
    <w:p>
      <w:pPr>
        <w:pStyle w:val="33"/>
        <w:spacing w:before="156" w:beforeLines="50" w:after="156" w:afterLines="50"/>
        <w:outlineLvl w:val="0"/>
        <w:rPr>
          <w:rFonts w:ascii="Times New Roman" w:hAnsi="Times New Roman" w:eastAsia="黑体" w:cs="Times New Roman"/>
          <w:b w:val="0"/>
          <w:bCs w:val="0"/>
          <w:color w:val="auto"/>
          <w:sz w:val="28"/>
          <w:szCs w:val="28"/>
        </w:rPr>
      </w:pPr>
      <w:bookmarkStart w:id="14" w:name="_Toc59609111"/>
      <w:bookmarkStart w:id="15" w:name="_Toc62572668"/>
      <w:bookmarkStart w:id="16" w:name="_Toc128733472"/>
      <w:r>
        <w:rPr>
          <w:rFonts w:ascii="Times New Roman" w:hAnsi="Times New Roman" w:eastAsia="黑体" w:cs="Times New Roman"/>
          <w:b w:val="0"/>
          <w:bCs w:val="0"/>
          <w:color w:val="auto"/>
          <w:sz w:val="28"/>
          <w:szCs w:val="28"/>
        </w:rPr>
        <w:t xml:space="preserve">4. </w:t>
      </w:r>
      <w:bookmarkEnd w:id="14"/>
      <w:bookmarkStart w:id="17" w:name="_Toc59609112"/>
      <w:r>
        <w:rPr>
          <w:rFonts w:hint="eastAsia" w:ascii="Times New Roman" w:hAnsi="Times New Roman" w:eastAsia="黑体" w:cs="Times New Roman"/>
          <w:b w:val="0"/>
          <w:bCs w:val="0"/>
          <w:color w:val="auto"/>
          <w:sz w:val="28"/>
          <w:szCs w:val="28"/>
        </w:rPr>
        <w:t>招标</w:t>
      </w:r>
      <w:r>
        <w:rPr>
          <w:rFonts w:ascii="Times New Roman" w:hAnsi="Times New Roman" w:eastAsia="黑体" w:cs="Times New Roman"/>
          <w:b w:val="0"/>
          <w:bCs w:val="0"/>
          <w:color w:val="auto"/>
          <w:sz w:val="28"/>
          <w:szCs w:val="28"/>
        </w:rPr>
        <w:t>文件的获取</w:t>
      </w:r>
      <w:bookmarkEnd w:id="15"/>
      <w:bookmarkEnd w:id="16"/>
      <w:bookmarkEnd w:id="17"/>
    </w:p>
    <w:p>
      <w:pPr>
        <w:spacing w:before="156" w:beforeLines="50" w:line="400" w:lineRule="exact"/>
        <w:ind w:left="420" w:leftChars="200" w:firstLine="420" w:firstLineChars="200"/>
        <w:outlineLvl w:val="0"/>
        <w:rPr>
          <w:szCs w:val="21"/>
        </w:rPr>
      </w:pPr>
      <w:bookmarkStart w:id="18" w:name="_Toc83633441"/>
      <w:bookmarkStart w:id="19" w:name="_Toc81579422"/>
      <w:bookmarkStart w:id="20" w:name="_Toc128733473"/>
      <w:bookmarkStart w:id="21" w:name="_Toc117789019"/>
      <w:bookmarkStart w:id="22" w:name="_Toc276714876"/>
      <w:bookmarkStart w:id="23" w:name="_Toc277917507"/>
      <w:bookmarkStart w:id="24" w:name="_Toc59609113"/>
      <w:bookmarkStart w:id="25" w:name="_Toc62572669"/>
      <w:r>
        <w:rPr>
          <w:rFonts w:ascii="宋体" w:hAnsi="宋体"/>
          <w:szCs w:val="21"/>
        </w:rPr>
        <w:t xml:space="preserve">4.1 </w:t>
      </w:r>
      <w:r>
        <w:rPr>
          <w:szCs w:val="21"/>
        </w:rPr>
        <w:t>请投标人</w:t>
      </w:r>
      <w:r>
        <w:rPr>
          <w:rFonts w:ascii="宋体" w:hAnsi="宋体"/>
          <w:szCs w:val="21"/>
        </w:rPr>
        <w:t>于</w:t>
      </w:r>
      <w:r>
        <w:rPr>
          <w:rFonts w:ascii="宋体" w:hAnsi="宋体"/>
          <w:szCs w:val="21"/>
          <w:u w:val="single"/>
        </w:rPr>
        <w:t>202</w:t>
      </w:r>
      <w:r>
        <w:rPr>
          <w:rFonts w:hint="eastAsia" w:ascii="宋体" w:hAnsi="宋体"/>
          <w:szCs w:val="21"/>
          <w:u w:val="single"/>
        </w:rPr>
        <w:t>3</w:t>
      </w:r>
      <w:r>
        <w:rPr>
          <w:rFonts w:ascii="宋体" w:hAnsi="宋体"/>
          <w:szCs w:val="21"/>
          <w:u w:val="single"/>
        </w:rPr>
        <w:t xml:space="preserve"> </w:t>
      </w:r>
      <w:r>
        <w:rPr>
          <w:rFonts w:ascii="宋体" w:hAnsi="宋体"/>
          <w:szCs w:val="21"/>
        </w:rPr>
        <w:t>年</w:t>
      </w:r>
      <w:r>
        <w:rPr>
          <w:rFonts w:hint="eastAsia" w:ascii="宋体" w:hAnsi="宋体"/>
          <w:szCs w:val="21"/>
          <w:u w:val="single"/>
          <w:lang w:val="en-US" w:eastAsia="zh-CN"/>
        </w:rPr>
        <w:t>11</w:t>
      </w:r>
      <w:r>
        <w:rPr>
          <w:rFonts w:ascii="宋体" w:hAnsi="宋体"/>
          <w:szCs w:val="21"/>
        </w:rPr>
        <w:t>月</w:t>
      </w:r>
      <w:r>
        <w:rPr>
          <w:rFonts w:hint="eastAsia" w:ascii="宋体" w:hAnsi="宋体"/>
          <w:szCs w:val="21"/>
          <w:u w:val="single"/>
          <w:lang w:val="en-US" w:eastAsia="zh-CN"/>
        </w:rPr>
        <w:t>20</w:t>
      </w:r>
      <w:r>
        <w:rPr>
          <w:rFonts w:ascii="宋体" w:hAnsi="宋体"/>
          <w:szCs w:val="21"/>
        </w:rPr>
        <w:t>日</w:t>
      </w:r>
      <w:r>
        <w:rPr>
          <w:rFonts w:hint="eastAsia" w:ascii="宋体" w:hAnsi="宋体"/>
          <w:szCs w:val="21"/>
          <w:u w:val="single"/>
        </w:rPr>
        <w:t>9</w:t>
      </w:r>
      <w:r>
        <w:rPr>
          <w:rFonts w:hint="eastAsia" w:ascii="宋体" w:hAnsi="宋体"/>
          <w:szCs w:val="21"/>
        </w:rPr>
        <w:t>时</w:t>
      </w:r>
      <w:r>
        <w:rPr>
          <w:rFonts w:hint="eastAsia" w:ascii="宋体" w:hAnsi="宋体"/>
          <w:szCs w:val="21"/>
          <w:u w:val="single"/>
        </w:rPr>
        <w:t>00</w:t>
      </w:r>
      <w:r>
        <w:rPr>
          <w:rFonts w:hint="eastAsia" w:ascii="宋体" w:hAnsi="宋体"/>
          <w:szCs w:val="21"/>
        </w:rPr>
        <w:t>分至</w:t>
      </w:r>
      <w:r>
        <w:rPr>
          <w:rFonts w:ascii="宋体" w:hAnsi="宋体"/>
          <w:szCs w:val="21"/>
          <w:u w:val="single"/>
        </w:rPr>
        <w:t>202</w:t>
      </w:r>
      <w:r>
        <w:rPr>
          <w:rFonts w:hint="eastAsia" w:ascii="宋体" w:hAnsi="宋体"/>
          <w:szCs w:val="21"/>
          <w:u w:val="single"/>
        </w:rPr>
        <w:t>3</w:t>
      </w:r>
      <w:r>
        <w:rPr>
          <w:rFonts w:ascii="宋体" w:hAnsi="宋体"/>
          <w:szCs w:val="21"/>
        </w:rPr>
        <w:t>年</w:t>
      </w:r>
      <w:r>
        <w:rPr>
          <w:rFonts w:hint="eastAsia" w:ascii="宋体" w:hAnsi="宋体"/>
          <w:szCs w:val="21"/>
          <w:u w:val="single"/>
          <w:lang w:val="en-US" w:eastAsia="zh-CN"/>
        </w:rPr>
        <w:t>11</w:t>
      </w:r>
      <w:r>
        <w:rPr>
          <w:rFonts w:ascii="宋体" w:hAnsi="宋体"/>
          <w:szCs w:val="21"/>
        </w:rPr>
        <w:t>月</w:t>
      </w:r>
      <w:r>
        <w:rPr>
          <w:rFonts w:hint="eastAsia" w:ascii="宋体" w:hAnsi="宋体"/>
          <w:szCs w:val="21"/>
          <w:u w:val="single"/>
          <w:lang w:val="en-US" w:eastAsia="zh-CN"/>
        </w:rPr>
        <w:t>24</w:t>
      </w:r>
      <w:r>
        <w:rPr>
          <w:rFonts w:ascii="宋体" w:hAnsi="宋体"/>
          <w:szCs w:val="21"/>
        </w:rPr>
        <w:t>日</w:t>
      </w:r>
      <w:r>
        <w:rPr>
          <w:rFonts w:hint="eastAsia" w:ascii="宋体" w:hAnsi="宋体"/>
          <w:szCs w:val="21"/>
          <w:u w:val="single"/>
        </w:rPr>
        <w:t>16</w:t>
      </w:r>
      <w:r>
        <w:rPr>
          <w:rFonts w:hint="eastAsia" w:ascii="宋体" w:hAnsi="宋体"/>
          <w:szCs w:val="21"/>
        </w:rPr>
        <w:t>时</w:t>
      </w:r>
      <w:r>
        <w:rPr>
          <w:rFonts w:hint="eastAsia" w:ascii="宋体" w:hAnsi="宋体"/>
          <w:szCs w:val="21"/>
          <w:u w:val="single"/>
        </w:rPr>
        <w:t>00</w:t>
      </w:r>
      <w:r>
        <w:rPr>
          <w:rFonts w:hint="eastAsia" w:ascii="宋体" w:hAnsi="宋体"/>
          <w:szCs w:val="21"/>
        </w:rPr>
        <w:t>分</w:t>
      </w:r>
      <w:r>
        <w:rPr>
          <w:rFonts w:ascii="宋体" w:hAnsi="宋体"/>
          <w:szCs w:val="21"/>
        </w:rPr>
        <w:t>（北京时间，下同）</w:t>
      </w:r>
      <w:r>
        <w:rPr>
          <w:rFonts w:hint="eastAsia" w:ascii="宋体" w:hAnsi="宋体"/>
          <w:szCs w:val="21"/>
        </w:rPr>
        <w:t>，登录广州公共资源交易中心网站</w:t>
      </w:r>
      <w:r>
        <w:rPr>
          <w:rFonts w:ascii="宋体" w:hAnsi="宋体"/>
          <w:szCs w:val="21"/>
        </w:rPr>
        <w:t>（http://www.gzggzy.cn/）</w:t>
      </w:r>
      <w:r>
        <w:rPr>
          <w:szCs w:val="21"/>
        </w:rPr>
        <w:t>下载电子招标文件。</w:t>
      </w:r>
      <w:bookmarkEnd w:id="18"/>
      <w:bookmarkEnd w:id="19"/>
      <w:bookmarkEnd w:id="20"/>
      <w:bookmarkEnd w:id="21"/>
    </w:p>
    <w:p>
      <w:pPr>
        <w:spacing w:before="156" w:beforeLines="50" w:line="400" w:lineRule="exact"/>
        <w:ind w:left="420" w:leftChars="200" w:firstLine="420" w:firstLineChars="200"/>
        <w:rPr>
          <w:rFonts w:ascii="宋体" w:hAnsi="宋体"/>
          <w:szCs w:val="21"/>
        </w:rPr>
      </w:pPr>
      <w:r>
        <w:t>下</w:t>
      </w:r>
      <w:r>
        <w:rPr>
          <w:rFonts w:hint="eastAsia"/>
        </w:rPr>
        <w:t>下载电子招标文件需要说明的有关事宜具体为：通过广州公共资源交易中心网上进行单位相关信息录入登记，同时将汇款凭证的彩色盖章扫描件发送到crmscgz03@163.com，此为获取招标文件确认的重要依据。登记成功并经确认后，通过广州公共资源交易中心网站（http://www.gzggzy.cn/）下载招标文件等资料。投标人在购买招标文件前应先在广州公共资源交易中心办理企业信息登记及电子签章，办理详情参见广州公共资源交易网站（http://www.gzggzy.cn）服务指南栏目。</w:t>
      </w:r>
    </w:p>
    <w:p>
      <w:pPr>
        <w:spacing w:before="156" w:beforeLines="50" w:line="400" w:lineRule="exact"/>
        <w:ind w:left="420" w:leftChars="200" w:firstLine="420" w:firstLineChars="200"/>
        <w:rPr>
          <w:rFonts w:ascii="宋体" w:hAnsi="宋体"/>
          <w:szCs w:val="21"/>
        </w:rPr>
      </w:pPr>
      <w:r>
        <w:rPr>
          <w:rFonts w:hint="eastAsia" w:ascii="宋体" w:hAnsi="宋体"/>
          <w:szCs w:val="21"/>
        </w:rPr>
        <w:t>4.2招标文件每个标段售价</w:t>
      </w:r>
      <w:r>
        <w:rPr>
          <w:rFonts w:ascii="宋体" w:hAnsi="宋体"/>
          <w:szCs w:val="21"/>
        </w:rPr>
        <w:t>2</w:t>
      </w:r>
      <w:r>
        <w:rPr>
          <w:rFonts w:hint="eastAsia" w:ascii="宋体" w:hAnsi="宋体"/>
          <w:szCs w:val="21"/>
        </w:rPr>
        <w:t>00元人民币，售后不退。投标人须在购买招标文件前将招标文件款电汇、网汇（不接受个人汇款）至下述指定账号，同时须在汇款单据上注明招标编号及购买标段号。投标人拟申请多个标段的，必须分别购买多个标段的招标文件。</w:t>
      </w:r>
      <w:r>
        <w:rPr>
          <w:rFonts w:hint="eastAsia" w:ascii="宋体" w:hAnsi="宋体"/>
          <w:b/>
          <w:szCs w:val="21"/>
        </w:rPr>
        <w:t>招标文件发票获取：</w:t>
      </w:r>
      <w:r>
        <w:rPr>
          <w:rFonts w:ascii="宋体" w:hAnsi="宋体"/>
          <w:b/>
          <w:szCs w:val="21"/>
        </w:rPr>
        <w:t>投标人</w:t>
      </w:r>
      <w:r>
        <w:rPr>
          <w:rFonts w:hint="eastAsia" w:ascii="宋体" w:hAnsi="宋体"/>
          <w:b/>
          <w:szCs w:val="21"/>
        </w:rPr>
        <w:t>购买招标文件前须在中国铁物电子招投标平台（</w:t>
      </w:r>
      <w:r>
        <w:rPr>
          <w:rFonts w:ascii="宋体" w:hAnsi="宋体"/>
          <w:b/>
          <w:szCs w:val="21"/>
        </w:rPr>
        <w:t>http://www.bidding-crmsc.com.cn</w:t>
      </w:r>
      <w:r>
        <w:rPr>
          <w:rFonts w:hint="eastAsia" w:ascii="宋体" w:hAnsi="宋体"/>
          <w:b/>
          <w:szCs w:val="21"/>
        </w:rPr>
        <w:t>）完成注册。</w:t>
      </w:r>
      <w:r>
        <w:rPr>
          <w:rFonts w:hint="eastAsia" w:ascii="宋体" w:hAnsi="宋体"/>
          <w:szCs w:val="21"/>
        </w:rPr>
        <w:t>注册审核通过后，招标代理将按照“系统管理”公司信息中供应商录入的开票信息开具标书款发票（供应商须及时更新公司信息），待开具成功后，</w:t>
      </w:r>
      <w:r>
        <w:rPr>
          <w:rFonts w:ascii="宋体" w:hAnsi="宋体"/>
          <w:szCs w:val="21"/>
        </w:rPr>
        <w:t>投标人</w:t>
      </w:r>
      <w:r>
        <w:rPr>
          <w:rFonts w:hint="eastAsia" w:ascii="宋体" w:hAnsi="宋体"/>
          <w:szCs w:val="21"/>
        </w:rPr>
        <w:t>通过“投标管理”中“电票下载”自行下载标书款发票。详细步骤请参考登录页面的《使用手册》。</w:t>
      </w:r>
    </w:p>
    <w:bookmarkEnd w:id="22"/>
    <w:bookmarkEnd w:id="23"/>
    <w:p>
      <w:pPr>
        <w:spacing w:before="156" w:beforeLines="50" w:line="400" w:lineRule="exact"/>
        <w:ind w:left="420" w:leftChars="200" w:firstLine="422" w:firstLineChars="200"/>
        <w:rPr>
          <w:rFonts w:ascii="宋体" w:hAnsi="宋体"/>
          <w:b/>
          <w:szCs w:val="21"/>
        </w:rPr>
      </w:pPr>
      <w:r>
        <w:rPr>
          <w:rFonts w:hint="eastAsia" w:ascii="宋体" w:hAnsi="宋体"/>
          <w:b/>
          <w:szCs w:val="21"/>
        </w:rPr>
        <w:t>招标代理账号：</w:t>
      </w:r>
    </w:p>
    <w:p>
      <w:pPr>
        <w:spacing w:before="156" w:beforeLines="50" w:line="400" w:lineRule="exact"/>
        <w:ind w:left="420" w:leftChars="200" w:firstLine="420" w:firstLineChars="200"/>
        <w:rPr>
          <w:rFonts w:ascii="宋体" w:hAnsi="宋体"/>
          <w:szCs w:val="21"/>
        </w:rPr>
      </w:pPr>
      <w:r>
        <w:rPr>
          <w:rFonts w:hint="eastAsia" w:ascii="宋体" w:hAnsi="宋体"/>
          <w:szCs w:val="21"/>
        </w:rPr>
        <w:t>开户银行：交通银行北京西单支行</w:t>
      </w:r>
    </w:p>
    <w:p>
      <w:pPr>
        <w:spacing w:before="156" w:beforeLines="50" w:line="400" w:lineRule="exact"/>
        <w:ind w:left="420" w:leftChars="200" w:firstLine="420" w:firstLineChars="200"/>
        <w:rPr>
          <w:rFonts w:ascii="宋体" w:hAnsi="宋体"/>
          <w:szCs w:val="21"/>
        </w:rPr>
      </w:pPr>
      <w:r>
        <w:rPr>
          <w:rFonts w:hint="eastAsia" w:ascii="宋体" w:hAnsi="宋体"/>
          <w:szCs w:val="21"/>
        </w:rPr>
        <w:t>开户名称：中铁物总国际招标有限公司</w:t>
      </w:r>
    </w:p>
    <w:p>
      <w:pPr>
        <w:spacing w:before="156" w:beforeLines="50" w:line="400" w:lineRule="exact"/>
        <w:ind w:left="420" w:leftChars="200" w:firstLine="420" w:firstLineChars="200"/>
        <w:rPr>
          <w:rFonts w:ascii="宋体" w:hAnsi="宋体"/>
          <w:sz w:val="22"/>
          <w:szCs w:val="21"/>
        </w:rPr>
      </w:pPr>
      <w:r>
        <w:rPr>
          <w:rFonts w:hint="eastAsia" w:ascii="宋体" w:hAnsi="宋体"/>
          <w:szCs w:val="21"/>
        </w:rPr>
        <w:t>账号：</w:t>
      </w:r>
      <w:bookmarkStart w:id="26" w:name="_Toc476160813"/>
      <w:bookmarkStart w:id="27" w:name="_Toc453463120"/>
      <w:bookmarkStart w:id="28" w:name="_Toc471676972"/>
      <w:bookmarkStart w:id="29" w:name="_Toc466420076"/>
      <w:bookmarkStart w:id="30" w:name="_Toc470694709"/>
      <w:r>
        <w:rPr>
          <w:rFonts w:hint="eastAsia" w:ascii="宋体" w:hAnsi="宋体"/>
          <w:sz w:val="22"/>
          <w:szCs w:val="21"/>
        </w:rPr>
        <w:t>7005007</w:t>
      </w:r>
    </w:p>
    <w:p>
      <w:pPr>
        <w:spacing w:line="540" w:lineRule="exact"/>
        <w:ind w:firstLine="424" w:firstLineChars="202"/>
        <w:jc w:val="left"/>
        <w:rPr>
          <w:rFonts w:hint="eastAsia"/>
          <w:kern w:val="0"/>
          <w:sz w:val="20"/>
          <w:szCs w:val="20"/>
        </w:rPr>
      </w:pPr>
      <w:r>
        <w:rPr>
          <w:rFonts w:hint="eastAsia" w:ascii="宋体" w:hAnsi="宋体"/>
          <w:szCs w:val="21"/>
        </w:rPr>
        <w:t>4.3</w:t>
      </w:r>
      <w:bookmarkEnd w:id="26"/>
      <w:bookmarkEnd w:id="27"/>
      <w:bookmarkEnd w:id="28"/>
      <w:bookmarkEnd w:id="29"/>
      <w:bookmarkEnd w:id="30"/>
      <w:r>
        <w:rPr>
          <w:rFonts w:hint="eastAsia"/>
        </w:rPr>
        <w:t>本次招标的招标文件将不采用邮购方式发售。</w:t>
      </w:r>
      <w:r>
        <w:rPr>
          <w:rFonts w:hint="eastAsia"/>
          <w:kern w:val="0"/>
          <w:sz w:val="20"/>
          <w:szCs w:val="20"/>
        </w:rPr>
        <w:t>原已购买招标文件的投标人，如继续参加本次投标，请于本次招标文件发售时间内，进行线上购买招标文件，并根据招标公告</w:t>
      </w:r>
      <w:r>
        <w:rPr>
          <w:rFonts w:hint="eastAsia"/>
          <w:kern w:val="0"/>
          <w:sz w:val="20"/>
          <w:szCs w:val="20"/>
          <w:lang w:val="en-US" w:eastAsia="zh-CN"/>
        </w:rPr>
        <w:t>4</w:t>
      </w:r>
      <w:r>
        <w:rPr>
          <w:rFonts w:hint="eastAsia"/>
          <w:kern w:val="0"/>
          <w:sz w:val="20"/>
          <w:szCs w:val="20"/>
        </w:rPr>
        <w:t>.1要求将资料发送至招标代理邮箱，无须再次缴纳标书款费用，免费更换招标文件。</w:t>
      </w:r>
      <w:bookmarkEnd w:id="1"/>
      <w:bookmarkEnd w:id="24"/>
      <w:bookmarkEnd w:id="25"/>
      <w:bookmarkStart w:id="31" w:name="_Hlk97135899"/>
      <w:bookmarkEnd w:id="31"/>
      <w:bookmarkStart w:id="32" w:name="_Toc53589647"/>
      <w:bookmarkStart w:id="33" w:name="_Toc53584092"/>
      <w:bookmarkStart w:id="34" w:name="_Toc83633443"/>
      <w:bookmarkStart w:id="35" w:name="_Toc117789021"/>
      <w:bookmarkStart w:id="36" w:name="_Toc81579424"/>
      <w:bookmarkStart w:id="37" w:name="_Toc128733474"/>
      <w:bookmarkStart w:id="38" w:name="_Toc210355364"/>
      <w:bookmarkStart w:id="39" w:name="_Toc210327502"/>
      <w:bookmarkStart w:id="40" w:name="_Toc277917509"/>
      <w:bookmarkStart w:id="41" w:name="_Toc276714878"/>
      <w:bookmarkStart w:id="42" w:name="_Toc210364688"/>
    </w:p>
    <w:p>
      <w:pPr>
        <w:spacing w:line="540" w:lineRule="exact"/>
        <w:ind w:firstLine="424" w:firstLineChars="202"/>
        <w:jc w:val="left"/>
        <w:rPr>
          <w:rFonts w:ascii="宋体" w:hAnsi="宋体"/>
          <w:szCs w:val="21"/>
        </w:rPr>
      </w:pPr>
      <w:r>
        <w:rPr>
          <w:rFonts w:ascii="宋体" w:hAnsi="宋体"/>
          <w:szCs w:val="21"/>
        </w:rPr>
        <w:t>5.1 投标文件</w:t>
      </w:r>
      <w:r>
        <w:rPr>
          <w:szCs w:val="21"/>
        </w:rPr>
        <w:t>提交</w:t>
      </w:r>
      <w:r>
        <w:rPr>
          <w:rFonts w:ascii="宋体" w:hAnsi="宋体"/>
          <w:szCs w:val="21"/>
        </w:rPr>
        <w:t>的时间为</w:t>
      </w:r>
      <w:r>
        <w:rPr>
          <w:rFonts w:ascii="宋体" w:hAnsi="宋体"/>
          <w:szCs w:val="21"/>
          <w:u w:val="single"/>
        </w:rPr>
        <w:t>202</w:t>
      </w:r>
      <w:r>
        <w:rPr>
          <w:rFonts w:hint="eastAsia" w:ascii="宋体" w:hAnsi="宋体"/>
          <w:szCs w:val="21"/>
          <w:u w:val="single"/>
        </w:rPr>
        <w:t>3</w:t>
      </w:r>
      <w:r>
        <w:rPr>
          <w:rFonts w:ascii="宋体" w:hAnsi="宋体"/>
          <w:szCs w:val="21"/>
        </w:rPr>
        <w:t>年</w:t>
      </w:r>
      <w:r>
        <w:rPr>
          <w:rFonts w:hint="eastAsia" w:ascii="宋体" w:hAnsi="宋体"/>
          <w:szCs w:val="21"/>
          <w:u w:val="single"/>
          <w:lang w:val="en-US" w:eastAsia="zh-CN"/>
        </w:rPr>
        <w:t>12</w:t>
      </w:r>
      <w:r>
        <w:rPr>
          <w:rFonts w:ascii="宋体" w:hAnsi="宋体"/>
          <w:szCs w:val="21"/>
        </w:rPr>
        <w:t>月</w:t>
      </w:r>
      <w:r>
        <w:rPr>
          <w:rFonts w:hint="eastAsia" w:ascii="宋体" w:hAnsi="宋体"/>
          <w:szCs w:val="21"/>
          <w:u w:val="single"/>
          <w:lang w:val="en-US" w:eastAsia="zh-CN"/>
        </w:rPr>
        <w:t>7</w:t>
      </w:r>
      <w:r>
        <w:rPr>
          <w:rFonts w:ascii="宋体" w:hAnsi="宋体"/>
          <w:szCs w:val="21"/>
        </w:rPr>
        <w:t>日</w:t>
      </w:r>
      <w:r>
        <w:rPr>
          <w:rFonts w:hint="eastAsia" w:ascii="宋体" w:hAnsi="宋体"/>
          <w:szCs w:val="21"/>
          <w:u w:val="single"/>
        </w:rPr>
        <w:t xml:space="preserve"> 09 </w:t>
      </w:r>
      <w:r>
        <w:rPr>
          <w:rFonts w:ascii="宋体" w:hAnsi="宋体"/>
          <w:szCs w:val="21"/>
        </w:rPr>
        <w:t>时</w:t>
      </w:r>
      <w:r>
        <w:rPr>
          <w:rFonts w:hint="eastAsia" w:ascii="宋体" w:hAnsi="宋体"/>
          <w:szCs w:val="21"/>
          <w:u w:val="single"/>
        </w:rPr>
        <w:t>00</w:t>
      </w:r>
      <w:r>
        <w:rPr>
          <w:rFonts w:ascii="宋体" w:hAnsi="宋体"/>
          <w:szCs w:val="21"/>
        </w:rPr>
        <w:t>分至</w:t>
      </w:r>
      <w:r>
        <w:rPr>
          <w:rFonts w:ascii="宋体" w:hAnsi="宋体"/>
          <w:szCs w:val="21"/>
          <w:u w:val="single"/>
        </w:rPr>
        <w:t>202</w:t>
      </w:r>
      <w:r>
        <w:rPr>
          <w:rFonts w:hint="eastAsia" w:ascii="宋体" w:hAnsi="宋体"/>
          <w:szCs w:val="21"/>
          <w:u w:val="single"/>
        </w:rPr>
        <w:t>3</w:t>
      </w:r>
      <w:r>
        <w:rPr>
          <w:rFonts w:ascii="宋体" w:hAnsi="宋体"/>
          <w:szCs w:val="21"/>
        </w:rPr>
        <w:t>年</w:t>
      </w:r>
      <w:r>
        <w:rPr>
          <w:rFonts w:hint="eastAsia" w:ascii="宋体" w:hAnsi="宋体"/>
          <w:szCs w:val="21"/>
          <w:u w:val="single"/>
          <w:lang w:val="en-US" w:eastAsia="zh-CN"/>
        </w:rPr>
        <w:t>12</w:t>
      </w:r>
      <w:r>
        <w:rPr>
          <w:rFonts w:ascii="宋体" w:hAnsi="宋体"/>
          <w:szCs w:val="21"/>
        </w:rPr>
        <w:t>月</w:t>
      </w:r>
      <w:r>
        <w:rPr>
          <w:rFonts w:hint="eastAsia" w:ascii="宋体" w:hAnsi="宋体"/>
          <w:szCs w:val="21"/>
          <w:u w:val="single"/>
          <w:lang w:val="en-US" w:eastAsia="zh-CN"/>
        </w:rPr>
        <w:t>14</w:t>
      </w:r>
      <w:r>
        <w:rPr>
          <w:rFonts w:ascii="宋体" w:hAnsi="宋体"/>
          <w:szCs w:val="21"/>
        </w:rPr>
        <w:t>日</w:t>
      </w:r>
      <w:r>
        <w:rPr>
          <w:rFonts w:hint="eastAsia" w:ascii="宋体" w:hAnsi="宋体"/>
          <w:szCs w:val="21"/>
          <w:u w:val="single"/>
        </w:rPr>
        <w:t>10</w:t>
      </w:r>
      <w:r>
        <w:rPr>
          <w:rFonts w:ascii="宋体" w:hAnsi="宋体"/>
          <w:szCs w:val="21"/>
        </w:rPr>
        <w:t>时</w:t>
      </w:r>
      <w:r>
        <w:rPr>
          <w:rFonts w:hint="eastAsia" w:ascii="宋体" w:hAnsi="宋体"/>
          <w:szCs w:val="21"/>
          <w:u w:val="single"/>
        </w:rPr>
        <w:t>00</w:t>
      </w:r>
      <w:r>
        <w:rPr>
          <w:rFonts w:ascii="宋体" w:hAnsi="宋体"/>
          <w:szCs w:val="21"/>
        </w:rPr>
        <w:t>分，</w:t>
      </w:r>
      <w:r>
        <w:rPr>
          <w:szCs w:val="21"/>
        </w:rPr>
        <w:t>截止时间</w:t>
      </w:r>
      <w:r>
        <w:t>（投标截止时间，下同）</w:t>
      </w:r>
      <w:r>
        <w:rPr>
          <w:rFonts w:ascii="宋体" w:hAnsi="宋体"/>
          <w:szCs w:val="21"/>
        </w:rPr>
        <w:t>为</w:t>
      </w:r>
      <w:r>
        <w:rPr>
          <w:rFonts w:ascii="宋体" w:hAnsi="宋体"/>
          <w:szCs w:val="21"/>
          <w:u w:val="single"/>
        </w:rPr>
        <w:t>202</w:t>
      </w:r>
      <w:r>
        <w:rPr>
          <w:rFonts w:hint="eastAsia" w:ascii="宋体" w:hAnsi="宋体"/>
          <w:szCs w:val="21"/>
          <w:u w:val="single"/>
        </w:rPr>
        <w:t>3</w:t>
      </w:r>
      <w:r>
        <w:rPr>
          <w:rFonts w:ascii="宋体" w:hAnsi="宋体"/>
          <w:szCs w:val="21"/>
        </w:rPr>
        <w:t>年</w:t>
      </w:r>
      <w:r>
        <w:rPr>
          <w:rFonts w:hint="eastAsia" w:ascii="宋体" w:hAnsi="宋体"/>
          <w:szCs w:val="21"/>
          <w:u w:val="single"/>
          <w:lang w:val="en-US" w:eastAsia="zh-CN"/>
        </w:rPr>
        <w:t>12</w:t>
      </w:r>
      <w:r>
        <w:rPr>
          <w:rFonts w:ascii="宋体" w:hAnsi="宋体"/>
          <w:szCs w:val="21"/>
        </w:rPr>
        <w:t>月</w:t>
      </w:r>
      <w:r>
        <w:rPr>
          <w:rFonts w:hint="eastAsia" w:ascii="宋体" w:hAnsi="宋体"/>
          <w:szCs w:val="21"/>
          <w:u w:val="single"/>
          <w:lang w:val="en-US" w:eastAsia="zh-CN"/>
        </w:rPr>
        <w:t>14</w:t>
      </w:r>
      <w:r>
        <w:rPr>
          <w:rFonts w:ascii="宋体" w:hAnsi="宋体"/>
          <w:szCs w:val="21"/>
        </w:rPr>
        <w:t>日</w:t>
      </w:r>
      <w:r>
        <w:rPr>
          <w:rFonts w:hint="eastAsia" w:ascii="宋体" w:hAnsi="宋体"/>
          <w:szCs w:val="21"/>
          <w:u w:val="single"/>
        </w:rPr>
        <w:t>10</w:t>
      </w:r>
      <w:r>
        <w:rPr>
          <w:rFonts w:ascii="宋体" w:hAnsi="宋体"/>
          <w:szCs w:val="21"/>
        </w:rPr>
        <w:t>时</w:t>
      </w:r>
      <w:r>
        <w:rPr>
          <w:rFonts w:hint="eastAsia" w:ascii="宋体" w:hAnsi="宋体"/>
          <w:szCs w:val="21"/>
          <w:u w:val="single"/>
        </w:rPr>
        <w:t>00</w:t>
      </w:r>
      <w:r>
        <w:rPr>
          <w:rFonts w:ascii="宋体" w:hAnsi="宋体"/>
          <w:szCs w:val="21"/>
        </w:rPr>
        <w:t>分</w:t>
      </w:r>
      <w:bookmarkEnd w:id="32"/>
      <w:bookmarkEnd w:id="33"/>
      <w:r>
        <w:rPr>
          <w:rFonts w:hint="eastAsia" w:ascii="宋体" w:hAnsi="宋体"/>
          <w:szCs w:val="21"/>
        </w:rPr>
        <w:t>，</w:t>
      </w:r>
      <w:r>
        <w:rPr>
          <w:szCs w:val="21"/>
        </w:rPr>
        <w:t>投标人应在投标截止时间前通过</w:t>
      </w:r>
      <w:r>
        <w:rPr>
          <w:rFonts w:hint="eastAsia" w:ascii="宋体" w:hAnsi="宋体"/>
          <w:szCs w:val="21"/>
        </w:rPr>
        <w:t>广州公共资源交易中心网站</w:t>
      </w:r>
      <w:r>
        <w:rPr>
          <w:rFonts w:ascii="宋体" w:hAnsi="宋体"/>
          <w:szCs w:val="21"/>
        </w:rPr>
        <w:t>（http://www.gzggzy.cn/）</w:t>
      </w:r>
      <w:r>
        <w:rPr>
          <w:szCs w:val="21"/>
        </w:rPr>
        <w:t>递交电子投标文件。</w:t>
      </w:r>
      <w:bookmarkEnd w:id="34"/>
      <w:bookmarkEnd w:id="35"/>
      <w:bookmarkEnd w:id="36"/>
      <w:bookmarkEnd w:id="37"/>
    </w:p>
    <w:p>
      <w:pPr>
        <w:spacing w:before="156" w:beforeLines="50" w:line="400" w:lineRule="exact"/>
        <w:ind w:left="420" w:leftChars="200" w:firstLine="420" w:firstLineChars="20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2</w:t>
      </w:r>
      <w:r>
        <w:rPr>
          <w:szCs w:val="21"/>
        </w:rPr>
        <w:t>逾期提交的或未按照招标文件要求加密的电子投标文件，招标人（电子招标投标交易平台）将予以拒收。</w:t>
      </w:r>
    </w:p>
    <w:p>
      <w:pPr>
        <w:spacing w:before="156" w:beforeLines="50" w:line="400" w:lineRule="exact"/>
        <w:ind w:left="420" w:leftChars="200" w:firstLine="420" w:firstLineChars="20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3纸质投标保函（或纸质版银行汇款底单）和含电子投标文件的</w:t>
      </w:r>
      <w:r>
        <w:rPr>
          <w:rFonts w:ascii="宋体" w:hAnsi="宋体"/>
          <w:szCs w:val="21"/>
        </w:rPr>
        <w:t>U</w:t>
      </w:r>
      <w:r>
        <w:rPr>
          <w:rFonts w:hint="eastAsia" w:ascii="宋体" w:hAnsi="宋体"/>
          <w:szCs w:val="21"/>
        </w:rPr>
        <w:t>盘等资料采用现场递交方式，递交地点：广州公共资源交易中心（地址：广州市天河区天润路</w:t>
      </w:r>
      <w:r>
        <w:rPr>
          <w:rFonts w:ascii="宋体" w:hAnsi="宋体"/>
          <w:szCs w:val="21"/>
        </w:rPr>
        <w:t>333</w:t>
      </w:r>
      <w:r>
        <w:rPr>
          <w:rFonts w:hint="eastAsia" w:ascii="宋体" w:hAnsi="宋体"/>
          <w:szCs w:val="21"/>
        </w:rPr>
        <w:t>号）。</w:t>
      </w:r>
    </w:p>
    <w:p>
      <w:pPr>
        <w:autoSpaceDE w:val="0"/>
        <w:autoSpaceDN w:val="0"/>
        <w:adjustRightInd w:val="0"/>
        <w:spacing w:before="156" w:beforeLines="50" w:after="60" w:line="400" w:lineRule="exact"/>
        <w:ind w:left="420" w:leftChars="200" w:firstLine="560" w:firstLineChars="200"/>
        <w:textAlignment w:val="baseline"/>
        <w:outlineLvl w:val="0"/>
        <w:rPr>
          <w:rFonts w:ascii="黑体" w:eastAsia="黑体" w:cs="宋体"/>
          <w:kern w:val="20"/>
          <w:sz w:val="28"/>
          <w:szCs w:val="28"/>
        </w:rPr>
      </w:pPr>
      <w:bookmarkStart w:id="43" w:name="_Toc128733475"/>
      <w:bookmarkStart w:id="44" w:name="_Toc117789022"/>
      <w:bookmarkStart w:id="45" w:name="_Toc53589648"/>
      <w:bookmarkStart w:id="46" w:name="_Toc476160815"/>
      <w:r>
        <w:rPr>
          <w:rFonts w:ascii="黑体" w:eastAsia="黑体" w:cs="宋体"/>
          <w:kern w:val="20"/>
          <w:sz w:val="28"/>
          <w:szCs w:val="28"/>
        </w:rPr>
        <w:t>6.发布公告的媒体</w:t>
      </w:r>
      <w:bookmarkEnd w:id="38"/>
      <w:bookmarkEnd w:id="39"/>
      <w:bookmarkEnd w:id="40"/>
      <w:bookmarkEnd w:id="41"/>
      <w:bookmarkEnd w:id="42"/>
      <w:bookmarkEnd w:id="43"/>
      <w:bookmarkEnd w:id="44"/>
      <w:bookmarkEnd w:id="45"/>
      <w:bookmarkEnd w:id="46"/>
    </w:p>
    <w:p>
      <w:pPr>
        <w:spacing w:before="156" w:beforeLines="50" w:line="400" w:lineRule="exact"/>
        <w:ind w:left="420" w:leftChars="200" w:firstLine="420" w:firstLineChars="200"/>
        <w:rPr>
          <w:rFonts w:ascii="宋体" w:hAnsi="宋体"/>
          <w:szCs w:val="21"/>
        </w:rPr>
      </w:pPr>
      <w:bookmarkStart w:id="47" w:name="_Toc210327503"/>
      <w:bookmarkStart w:id="48" w:name="_Toc210364689"/>
      <w:bookmarkStart w:id="49" w:name="_Toc210355365"/>
      <w:bookmarkStart w:id="50" w:name="_Toc276714879"/>
      <w:bookmarkStart w:id="51" w:name="_Toc277917510"/>
      <w:r>
        <w:rPr>
          <w:rFonts w:hint="eastAsia" w:ascii="宋体" w:hAnsi="宋体"/>
          <w:szCs w:val="21"/>
        </w:rPr>
        <w:t>本次招标公告同时在广州公共资源交易中心网、</w:t>
      </w:r>
      <w:r>
        <w:rPr>
          <w:rFonts w:hint="eastAsia" w:ascii="宋体" w:hAnsi="宋体" w:cs="宋体"/>
          <w:szCs w:val="21"/>
        </w:rPr>
        <w:t>中国招标投标公共服务平台、</w:t>
      </w:r>
      <w:r>
        <w:rPr>
          <w:rFonts w:hint="eastAsia" w:ascii="宋体" w:hAnsi="宋体"/>
          <w:szCs w:val="21"/>
        </w:rPr>
        <w:t>国铁采购平台上发布，本公告的修改、补充，在广州公共资源交易中心网站发布。本公告在各媒体发布的文本如有不同之处，以在广州公共资源交易中心网站发布的文本为准</w:t>
      </w:r>
      <w:r>
        <w:rPr>
          <w:rFonts w:ascii="宋体" w:hAnsi="宋体"/>
          <w:szCs w:val="21"/>
        </w:rPr>
        <w:t>。</w:t>
      </w:r>
    </w:p>
    <w:p>
      <w:pPr>
        <w:autoSpaceDE w:val="0"/>
        <w:autoSpaceDN w:val="0"/>
        <w:adjustRightInd w:val="0"/>
        <w:spacing w:before="156" w:beforeLines="50" w:after="60" w:line="400" w:lineRule="exact"/>
        <w:ind w:left="420" w:leftChars="200" w:firstLine="560" w:firstLineChars="200"/>
        <w:textAlignment w:val="baseline"/>
        <w:outlineLvl w:val="0"/>
        <w:rPr>
          <w:rFonts w:ascii="黑体" w:eastAsia="黑体" w:cs="宋体"/>
          <w:kern w:val="20"/>
          <w:sz w:val="28"/>
          <w:szCs w:val="28"/>
        </w:rPr>
      </w:pPr>
      <w:bookmarkStart w:id="52" w:name="_Toc53589649"/>
      <w:bookmarkStart w:id="53" w:name="_Toc476160816"/>
      <w:bookmarkStart w:id="54" w:name="_Toc128733476"/>
      <w:bookmarkStart w:id="55" w:name="_Toc117789023"/>
      <w:r>
        <w:rPr>
          <w:rFonts w:ascii="黑体" w:eastAsia="黑体" w:cs="宋体"/>
          <w:kern w:val="20"/>
          <w:sz w:val="28"/>
          <w:szCs w:val="28"/>
        </w:rPr>
        <w:t>7.联系方式</w:t>
      </w:r>
      <w:bookmarkEnd w:id="47"/>
      <w:bookmarkEnd w:id="48"/>
      <w:bookmarkEnd w:id="49"/>
      <w:bookmarkEnd w:id="50"/>
      <w:bookmarkEnd w:id="51"/>
      <w:bookmarkEnd w:id="52"/>
      <w:bookmarkEnd w:id="53"/>
      <w:bookmarkEnd w:id="54"/>
      <w:bookmarkEnd w:id="55"/>
    </w:p>
    <w:tbl>
      <w:tblPr>
        <w:tblStyle w:val="12"/>
        <w:tblW w:w="0" w:type="auto"/>
        <w:tblInd w:w="0" w:type="dxa"/>
        <w:tblLayout w:type="fixed"/>
        <w:tblCellMar>
          <w:top w:w="0" w:type="dxa"/>
          <w:left w:w="108" w:type="dxa"/>
          <w:bottom w:w="0" w:type="dxa"/>
          <w:right w:w="108" w:type="dxa"/>
        </w:tblCellMar>
      </w:tblPr>
      <w:tblGrid>
        <w:gridCol w:w="2093"/>
        <w:gridCol w:w="5670"/>
      </w:tblGrid>
      <w:tr>
        <w:tblPrEx>
          <w:tblCellMar>
            <w:top w:w="0" w:type="dxa"/>
            <w:left w:w="108" w:type="dxa"/>
            <w:bottom w:w="0" w:type="dxa"/>
            <w:right w:w="108" w:type="dxa"/>
          </w:tblCellMar>
        </w:tblPrEx>
        <w:tc>
          <w:tcPr>
            <w:tcW w:w="2093" w:type="dxa"/>
          </w:tcPr>
          <w:p>
            <w:pPr>
              <w:adjustRightInd w:val="0"/>
              <w:snapToGrid w:val="0"/>
              <w:spacing w:before="156" w:beforeLines="50" w:line="360" w:lineRule="auto"/>
              <w:ind w:left="420" w:leftChars="200" w:firstLine="420" w:firstLineChars="200"/>
              <w:rPr>
                <w:rFonts w:ascii="宋体" w:hAnsi="宋体"/>
              </w:rPr>
            </w:pPr>
            <w:r>
              <w:rPr>
                <w:rFonts w:hint="eastAsia" w:ascii="宋体" w:hAnsi="宋体"/>
              </w:rPr>
              <w:t xml:space="preserve">招 标 人： </w:t>
            </w:r>
          </w:p>
        </w:tc>
        <w:tc>
          <w:tcPr>
            <w:tcW w:w="5670" w:type="dxa"/>
            <w:vAlign w:val="center"/>
          </w:tcPr>
          <w:p>
            <w:pPr>
              <w:topLinePunct/>
              <w:autoSpaceDE w:val="0"/>
              <w:autoSpaceDN w:val="0"/>
              <w:spacing w:line="400" w:lineRule="exact"/>
              <w:ind w:left="360"/>
              <w:jc w:val="left"/>
              <w:rPr>
                <w:rFonts w:ascii="宋体" w:hAnsi="宋体"/>
                <w:kern w:val="0"/>
                <w:szCs w:val="21"/>
                <w:u w:val="single"/>
              </w:rPr>
            </w:pPr>
            <w:r>
              <w:rPr>
                <w:rFonts w:hint="eastAsia" w:ascii="宋体" w:hAnsi="宋体"/>
                <w:szCs w:val="21"/>
              </w:rPr>
              <w:t xml:space="preserve">    </w:t>
            </w:r>
            <w:r>
              <w:rPr>
                <w:rFonts w:hint="eastAsia" w:ascii="宋体" w:hAnsi="宋体"/>
                <w:szCs w:val="21"/>
                <w:u w:val="single"/>
              </w:rPr>
              <w:t>广深股份公司广州电务段</w:t>
            </w:r>
          </w:p>
        </w:tc>
      </w:tr>
      <w:tr>
        <w:tblPrEx>
          <w:tblCellMar>
            <w:top w:w="0" w:type="dxa"/>
            <w:left w:w="108" w:type="dxa"/>
            <w:bottom w:w="0" w:type="dxa"/>
            <w:right w:w="108" w:type="dxa"/>
          </w:tblCellMar>
        </w:tblPrEx>
        <w:tc>
          <w:tcPr>
            <w:tcW w:w="2093" w:type="dxa"/>
          </w:tcPr>
          <w:p>
            <w:pPr>
              <w:adjustRightInd w:val="0"/>
              <w:snapToGrid w:val="0"/>
              <w:spacing w:before="156" w:beforeLines="50" w:line="360" w:lineRule="auto"/>
              <w:ind w:left="420" w:leftChars="200" w:firstLine="420" w:firstLineChars="200"/>
              <w:rPr>
                <w:rFonts w:ascii="宋体" w:hAnsi="宋体"/>
              </w:rPr>
            </w:pPr>
            <w:r>
              <w:rPr>
                <w:rFonts w:hint="eastAsia" w:ascii="宋体" w:hAnsi="宋体"/>
              </w:rPr>
              <w:t xml:space="preserve">地    址： </w:t>
            </w:r>
          </w:p>
        </w:tc>
        <w:tc>
          <w:tcPr>
            <w:tcW w:w="5670" w:type="dxa"/>
            <w:vAlign w:val="center"/>
          </w:tcPr>
          <w:p>
            <w:pPr>
              <w:tabs>
                <w:tab w:val="left" w:pos="4500"/>
              </w:tabs>
              <w:adjustRightInd w:val="0"/>
              <w:snapToGrid w:val="0"/>
              <w:spacing w:before="156" w:beforeLines="50" w:line="360" w:lineRule="auto"/>
              <w:ind w:left="420" w:leftChars="200" w:firstLine="420" w:firstLineChars="200"/>
              <w:rPr>
                <w:rFonts w:ascii="宋体" w:hAnsi="宋体"/>
                <w:szCs w:val="21"/>
                <w:u w:val="single"/>
              </w:rPr>
            </w:pPr>
            <w:r>
              <w:rPr>
                <w:rFonts w:hint="eastAsia" w:ascii="宋体" w:hAnsi="宋体" w:cs="宋体"/>
              </w:rPr>
              <w:t>广州市天河区沾益直街4号</w:t>
            </w:r>
          </w:p>
        </w:tc>
      </w:tr>
      <w:tr>
        <w:tblPrEx>
          <w:tblCellMar>
            <w:top w:w="0" w:type="dxa"/>
            <w:left w:w="108" w:type="dxa"/>
            <w:bottom w:w="0" w:type="dxa"/>
            <w:right w:w="108" w:type="dxa"/>
          </w:tblCellMar>
        </w:tblPrEx>
        <w:tc>
          <w:tcPr>
            <w:tcW w:w="2093" w:type="dxa"/>
          </w:tcPr>
          <w:p>
            <w:pPr>
              <w:adjustRightInd w:val="0"/>
              <w:snapToGrid w:val="0"/>
              <w:spacing w:before="156" w:beforeLines="50" w:line="360" w:lineRule="auto"/>
              <w:ind w:left="420" w:leftChars="200" w:firstLine="420" w:firstLineChars="200"/>
              <w:rPr>
                <w:rFonts w:ascii="宋体" w:hAnsi="宋体"/>
              </w:rPr>
            </w:pPr>
            <w:r>
              <w:rPr>
                <w:rFonts w:hint="eastAsia" w:ascii="宋体" w:hAnsi="宋体"/>
              </w:rPr>
              <w:t>邮    编：</w:t>
            </w:r>
          </w:p>
        </w:tc>
        <w:tc>
          <w:tcPr>
            <w:tcW w:w="5670" w:type="dxa"/>
            <w:vAlign w:val="center"/>
          </w:tcPr>
          <w:p>
            <w:pPr>
              <w:tabs>
                <w:tab w:val="left" w:pos="4500"/>
              </w:tabs>
              <w:adjustRightInd w:val="0"/>
              <w:snapToGrid w:val="0"/>
              <w:spacing w:before="156" w:beforeLines="50" w:line="360" w:lineRule="auto"/>
              <w:ind w:left="420" w:leftChars="200" w:firstLine="420" w:firstLineChars="200"/>
              <w:rPr>
                <w:rFonts w:ascii="宋体" w:hAnsi="宋体"/>
                <w:szCs w:val="21"/>
              </w:rPr>
            </w:pPr>
            <w:r>
              <w:rPr>
                <w:rFonts w:hint="eastAsia" w:ascii="宋体" w:hAnsi="宋体"/>
                <w:szCs w:val="21"/>
                <w:u w:val="single"/>
              </w:rPr>
              <w:t>/</w:t>
            </w:r>
          </w:p>
        </w:tc>
      </w:tr>
      <w:tr>
        <w:tblPrEx>
          <w:tblCellMar>
            <w:top w:w="0" w:type="dxa"/>
            <w:left w:w="108" w:type="dxa"/>
            <w:bottom w:w="0" w:type="dxa"/>
            <w:right w:w="108" w:type="dxa"/>
          </w:tblCellMar>
        </w:tblPrEx>
        <w:tc>
          <w:tcPr>
            <w:tcW w:w="2093" w:type="dxa"/>
          </w:tcPr>
          <w:p>
            <w:pPr>
              <w:adjustRightInd w:val="0"/>
              <w:snapToGrid w:val="0"/>
              <w:spacing w:before="156" w:beforeLines="50" w:line="360" w:lineRule="auto"/>
              <w:ind w:left="420" w:leftChars="200" w:firstLine="420" w:firstLineChars="200"/>
              <w:rPr>
                <w:rFonts w:ascii="宋体" w:hAnsi="宋体"/>
              </w:rPr>
            </w:pPr>
            <w:r>
              <w:rPr>
                <w:rFonts w:hint="eastAsia" w:ascii="宋体" w:hAnsi="宋体"/>
              </w:rPr>
              <w:t xml:space="preserve">联 系 人： </w:t>
            </w:r>
          </w:p>
        </w:tc>
        <w:tc>
          <w:tcPr>
            <w:tcW w:w="5670" w:type="dxa"/>
            <w:vAlign w:val="center"/>
          </w:tcPr>
          <w:p>
            <w:pPr>
              <w:tabs>
                <w:tab w:val="left" w:pos="4500"/>
              </w:tabs>
              <w:adjustRightInd w:val="0"/>
              <w:snapToGrid w:val="0"/>
              <w:spacing w:before="156" w:beforeLines="50" w:line="360" w:lineRule="auto"/>
              <w:ind w:left="420" w:leftChars="200" w:firstLine="420" w:firstLineChars="200"/>
              <w:rPr>
                <w:rFonts w:ascii="宋体" w:hAnsi="宋体"/>
                <w:szCs w:val="21"/>
                <w:u w:val="single"/>
              </w:rPr>
            </w:pPr>
            <w:r>
              <w:rPr>
                <w:rFonts w:hint="eastAsia" w:ascii="宋体" w:hAnsi="宋体"/>
                <w:szCs w:val="21"/>
                <w:u w:val="single"/>
              </w:rPr>
              <w:t>熊工</w:t>
            </w:r>
          </w:p>
        </w:tc>
      </w:tr>
      <w:tr>
        <w:tblPrEx>
          <w:tblCellMar>
            <w:top w:w="0" w:type="dxa"/>
            <w:left w:w="108" w:type="dxa"/>
            <w:bottom w:w="0" w:type="dxa"/>
            <w:right w:w="108" w:type="dxa"/>
          </w:tblCellMar>
        </w:tblPrEx>
        <w:tc>
          <w:tcPr>
            <w:tcW w:w="2093" w:type="dxa"/>
          </w:tcPr>
          <w:p>
            <w:pPr>
              <w:adjustRightInd w:val="0"/>
              <w:snapToGrid w:val="0"/>
              <w:spacing w:before="156" w:beforeLines="50" w:line="360" w:lineRule="auto"/>
              <w:ind w:left="420" w:leftChars="200" w:firstLine="420" w:firstLineChars="200"/>
              <w:rPr>
                <w:rFonts w:ascii="宋体" w:hAnsi="宋体"/>
              </w:rPr>
            </w:pPr>
            <w:r>
              <w:rPr>
                <w:rFonts w:hint="eastAsia" w:ascii="宋体" w:hAnsi="宋体"/>
              </w:rPr>
              <w:t xml:space="preserve">电    话： </w:t>
            </w:r>
          </w:p>
        </w:tc>
        <w:tc>
          <w:tcPr>
            <w:tcW w:w="5670" w:type="dxa"/>
            <w:vAlign w:val="center"/>
          </w:tcPr>
          <w:p>
            <w:pPr>
              <w:tabs>
                <w:tab w:val="left" w:pos="4500"/>
              </w:tabs>
              <w:adjustRightInd w:val="0"/>
              <w:snapToGrid w:val="0"/>
              <w:spacing w:before="156" w:beforeLines="50" w:line="360" w:lineRule="auto"/>
              <w:ind w:left="420" w:leftChars="200" w:firstLine="420" w:firstLineChars="200"/>
              <w:rPr>
                <w:rFonts w:ascii="宋体" w:hAnsi="宋体"/>
                <w:szCs w:val="21"/>
              </w:rPr>
            </w:pPr>
            <w:r>
              <w:rPr>
                <w:rFonts w:hint="eastAsia" w:ascii="宋体" w:hAnsi="宋体"/>
                <w:szCs w:val="21"/>
              </w:rPr>
              <w:t>020-61346926</w:t>
            </w:r>
          </w:p>
        </w:tc>
      </w:tr>
      <w:tr>
        <w:tblPrEx>
          <w:tblCellMar>
            <w:top w:w="0" w:type="dxa"/>
            <w:left w:w="108" w:type="dxa"/>
            <w:bottom w:w="0" w:type="dxa"/>
            <w:right w:w="108" w:type="dxa"/>
          </w:tblCellMar>
        </w:tblPrEx>
        <w:tc>
          <w:tcPr>
            <w:tcW w:w="2093" w:type="dxa"/>
            <w:vAlign w:val="center"/>
          </w:tcPr>
          <w:p>
            <w:pPr>
              <w:tabs>
                <w:tab w:val="left" w:pos="4500"/>
              </w:tabs>
              <w:adjustRightInd w:val="0"/>
              <w:snapToGrid w:val="0"/>
              <w:spacing w:before="156" w:beforeLines="50" w:line="360" w:lineRule="auto"/>
              <w:ind w:left="420" w:leftChars="200" w:firstLine="420" w:firstLineChars="200"/>
              <w:rPr>
                <w:rFonts w:ascii="宋体" w:hAnsi="宋体"/>
                <w:szCs w:val="21"/>
              </w:rPr>
            </w:pPr>
          </w:p>
        </w:tc>
        <w:tc>
          <w:tcPr>
            <w:tcW w:w="5670" w:type="dxa"/>
            <w:vAlign w:val="center"/>
          </w:tcPr>
          <w:p>
            <w:pPr>
              <w:tabs>
                <w:tab w:val="left" w:pos="4500"/>
              </w:tabs>
              <w:adjustRightInd w:val="0"/>
              <w:snapToGrid w:val="0"/>
              <w:spacing w:before="156" w:beforeLines="50" w:line="360" w:lineRule="auto"/>
              <w:ind w:left="420" w:leftChars="200" w:firstLine="420" w:firstLineChars="200"/>
              <w:rPr>
                <w:rFonts w:ascii="宋体" w:hAnsi="宋体"/>
                <w:szCs w:val="21"/>
                <w:u w:val="single"/>
              </w:rPr>
            </w:pPr>
          </w:p>
        </w:tc>
      </w:tr>
      <w:tr>
        <w:tblPrEx>
          <w:tblCellMar>
            <w:top w:w="0" w:type="dxa"/>
            <w:left w:w="108" w:type="dxa"/>
            <w:bottom w:w="0" w:type="dxa"/>
            <w:right w:w="108" w:type="dxa"/>
          </w:tblCellMar>
        </w:tblPrEx>
        <w:tc>
          <w:tcPr>
            <w:tcW w:w="2093" w:type="dxa"/>
          </w:tcPr>
          <w:p>
            <w:pPr>
              <w:adjustRightInd w:val="0"/>
              <w:snapToGrid w:val="0"/>
              <w:spacing w:before="156" w:beforeLines="50" w:line="360" w:lineRule="auto"/>
              <w:ind w:left="420" w:leftChars="200"/>
              <w:rPr>
                <w:rFonts w:ascii="宋体" w:hAnsi="宋体"/>
              </w:rPr>
            </w:pPr>
            <w:r>
              <w:rPr>
                <w:rFonts w:hint="eastAsia" w:ascii="宋体" w:hAnsi="宋体"/>
              </w:rPr>
              <w:t xml:space="preserve">招标代理机构： </w:t>
            </w:r>
          </w:p>
        </w:tc>
        <w:tc>
          <w:tcPr>
            <w:tcW w:w="5670" w:type="dxa"/>
          </w:tcPr>
          <w:p>
            <w:pPr>
              <w:adjustRightInd w:val="0"/>
              <w:snapToGrid w:val="0"/>
              <w:spacing w:before="156" w:beforeLines="50" w:line="360" w:lineRule="auto"/>
              <w:ind w:left="420" w:leftChars="200" w:firstLine="420" w:firstLineChars="200"/>
              <w:rPr>
                <w:rFonts w:ascii="宋体" w:hAnsi="宋体"/>
              </w:rPr>
            </w:pPr>
            <w:r>
              <w:rPr>
                <w:rFonts w:hint="eastAsia" w:ascii="宋体" w:hAnsi="宋体"/>
              </w:rPr>
              <w:t>中铁物总国际招标有限公司</w:t>
            </w:r>
          </w:p>
        </w:tc>
      </w:tr>
      <w:tr>
        <w:tblPrEx>
          <w:tblCellMar>
            <w:top w:w="0" w:type="dxa"/>
            <w:left w:w="108" w:type="dxa"/>
            <w:bottom w:w="0" w:type="dxa"/>
            <w:right w:w="108" w:type="dxa"/>
          </w:tblCellMar>
        </w:tblPrEx>
        <w:tc>
          <w:tcPr>
            <w:tcW w:w="2093" w:type="dxa"/>
          </w:tcPr>
          <w:p>
            <w:pPr>
              <w:adjustRightInd w:val="0"/>
              <w:snapToGrid w:val="0"/>
              <w:spacing w:before="156" w:beforeLines="50" w:line="360" w:lineRule="auto"/>
              <w:ind w:left="420" w:leftChars="200" w:firstLine="420" w:firstLineChars="200"/>
              <w:rPr>
                <w:rFonts w:ascii="宋体" w:hAnsi="宋体"/>
              </w:rPr>
            </w:pPr>
            <w:r>
              <w:rPr>
                <w:rFonts w:hint="eastAsia" w:ascii="宋体" w:hAnsi="宋体"/>
              </w:rPr>
              <w:t xml:space="preserve">地    址： </w:t>
            </w:r>
          </w:p>
        </w:tc>
        <w:tc>
          <w:tcPr>
            <w:tcW w:w="5670" w:type="dxa"/>
          </w:tcPr>
          <w:p>
            <w:pPr>
              <w:adjustRightInd w:val="0"/>
              <w:snapToGrid w:val="0"/>
              <w:spacing w:before="156" w:beforeLines="50" w:line="360" w:lineRule="auto"/>
              <w:ind w:left="420" w:leftChars="200" w:firstLine="420" w:firstLineChars="200"/>
              <w:rPr>
                <w:rFonts w:ascii="宋体" w:hAnsi="宋体"/>
              </w:rPr>
            </w:pPr>
            <w:r>
              <w:rPr>
                <w:rFonts w:hint="eastAsia" w:ascii="宋体" w:hAnsi="宋体"/>
              </w:rPr>
              <w:t>广州市越秀区中山一路65号中国铁物二楼</w:t>
            </w:r>
          </w:p>
        </w:tc>
      </w:tr>
      <w:tr>
        <w:tblPrEx>
          <w:tblCellMar>
            <w:top w:w="0" w:type="dxa"/>
            <w:left w:w="108" w:type="dxa"/>
            <w:bottom w:w="0" w:type="dxa"/>
            <w:right w:w="108" w:type="dxa"/>
          </w:tblCellMar>
        </w:tblPrEx>
        <w:tc>
          <w:tcPr>
            <w:tcW w:w="2093" w:type="dxa"/>
          </w:tcPr>
          <w:p>
            <w:pPr>
              <w:adjustRightInd w:val="0"/>
              <w:snapToGrid w:val="0"/>
              <w:spacing w:before="156" w:beforeLines="50" w:line="360" w:lineRule="auto"/>
              <w:ind w:left="420" w:leftChars="200" w:firstLine="420" w:firstLineChars="200"/>
              <w:rPr>
                <w:rFonts w:ascii="宋体" w:hAnsi="宋体"/>
              </w:rPr>
            </w:pPr>
            <w:r>
              <w:rPr>
                <w:rFonts w:hint="eastAsia" w:ascii="宋体" w:hAnsi="宋体"/>
              </w:rPr>
              <w:t>邮    编：</w:t>
            </w:r>
          </w:p>
        </w:tc>
        <w:tc>
          <w:tcPr>
            <w:tcW w:w="5670" w:type="dxa"/>
          </w:tcPr>
          <w:p>
            <w:pPr>
              <w:adjustRightInd w:val="0"/>
              <w:snapToGrid w:val="0"/>
              <w:spacing w:before="156" w:beforeLines="50" w:line="360" w:lineRule="auto"/>
              <w:ind w:left="420" w:leftChars="200" w:firstLine="420" w:firstLineChars="200"/>
              <w:rPr>
                <w:rFonts w:ascii="宋体" w:hAnsi="宋体"/>
              </w:rPr>
            </w:pPr>
            <w:r>
              <w:rPr>
                <w:rFonts w:ascii="宋体" w:hAnsi="宋体"/>
              </w:rPr>
              <w:t>510080</w:t>
            </w:r>
          </w:p>
        </w:tc>
      </w:tr>
      <w:tr>
        <w:tblPrEx>
          <w:tblCellMar>
            <w:top w:w="0" w:type="dxa"/>
            <w:left w:w="108" w:type="dxa"/>
            <w:bottom w:w="0" w:type="dxa"/>
            <w:right w:w="108" w:type="dxa"/>
          </w:tblCellMar>
        </w:tblPrEx>
        <w:tc>
          <w:tcPr>
            <w:tcW w:w="2093" w:type="dxa"/>
          </w:tcPr>
          <w:p>
            <w:pPr>
              <w:adjustRightInd w:val="0"/>
              <w:snapToGrid w:val="0"/>
              <w:spacing w:before="156" w:beforeLines="50" w:line="360" w:lineRule="auto"/>
              <w:ind w:left="420" w:leftChars="200" w:firstLine="420" w:firstLineChars="200"/>
              <w:rPr>
                <w:rFonts w:ascii="宋体" w:hAnsi="宋体"/>
              </w:rPr>
            </w:pPr>
          </w:p>
        </w:tc>
        <w:tc>
          <w:tcPr>
            <w:tcW w:w="5670" w:type="dxa"/>
          </w:tcPr>
          <w:p>
            <w:pPr>
              <w:adjustRightInd w:val="0"/>
              <w:snapToGrid w:val="0"/>
              <w:spacing w:before="156" w:beforeLines="50" w:line="360" w:lineRule="auto"/>
              <w:ind w:left="420" w:leftChars="200" w:firstLine="420" w:firstLineChars="200"/>
              <w:rPr>
                <w:rFonts w:ascii="宋体" w:hAnsi="宋体"/>
              </w:rPr>
            </w:pPr>
          </w:p>
        </w:tc>
      </w:tr>
      <w:tr>
        <w:tblPrEx>
          <w:tblCellMar>
            <w:top w:w="0" w:type="dxa"/>
            <w:left w:w="108" w:type="dxa"/>
            <w:bottom w:w="0" w:type="dxa"/>
            <w:right w:w="108" w:type="dxa"/>
          </w:tblCellMar>
        </w:tblPrEx>
        <w:tc>
          <w:tcPr>
            <w:tcW w:w="2093" w:type="dxa"/>
          </w:tcPr>
          <w:p>
            <w:pPr>
              <w:adjustRightInd w:val="0"/>
              <w:snapToGrid w:val="0"/>
              <w:spacing w:before="156" w:beforeLines="50" w:line="360" w:lineRule="auto"/>
              <w:ind w:left="420" w:leftChars="200"/>
              <w:rPr>
                <w:rFonts w:ascii="宋体" w:hAnsi="宋体"/>
              </w:rPr>
            </w:pPr>
            <w:r>
              <w:rPr>
                <w:rFonts w:hint="eastAsia" w:ascii="宋体" w:hAnsi="宋体"/>
              </w:rPr>
              <w:t xml:space="preserve">标登记联系人： </w:t>
            </w:r>
          </w:p>
        </w:tc>
        <w:tc>
          <w:tcPr>
            <w:tcW w:w="5670" w:type="dxa"/>
          </w:tcPr>
          <w:p>
            <w:pPr>
              <w:adjustRightInd w:val="0"/>
              <w:snapToGrid w:val="0"/>
              <w:spacing w:before="156" w:beforeLines="50" w:line="360" w:lineRule="auto"/>
              <w:ind w:left="420" w:leftChars="200" w:firstLine="420" w:firstLineChars="200"/>
              <w:rPr>
                <w:rFonts w:ascii="宋体" w:hAnsi="宋体"/>
              </w:rPr>
            </w:pPr>
            <w:r>
              <w:rPr>
                <w:rFonts w:hint="eastAsia" w:ascii="宋体" w:hAnsi="宋体"/>
              </w:rPr>
              <w:t>刘工</w:t>
            </w:r>
            <w:r>
              <w:rPr>
                <w:rFonts w:ascii="宋体" w:hAnsi="宋体"/>
              </w:rPr>
              <w:t>19521229018</w:t>
            </w:r>
          </w:p>
        </w:tc>
      </w:tr>
      <w:tr>
        <w:tblPrEx>
          <w:tblCellMar>
            <w:top w:w="0" w:type="dxa"/>
            <w:left w:w="108" w:type="dxa"/>
            <w:bottom w:w="0" w:type="dxa"/>
            <w:right w:w="108" w:type="dxa"/>
          </w:tblCellMar>
        </w:tblPrEx>
        <w:tc>
          <w:tcPr>
            <w:tcW w:w="2093" w:type="dxa"/>
          </w:tcPr>
          <w:p>
            <w:pPr>
              <w:adjustRightInd w:val="0"/>
              <w:snapToGrid w:val="0"/>
              <w:spacing w:before="156" w:beforeLines="50" w:line="360" w:lineRule="auto"/>
              <w:ind w:left="420" w:leftChars="200"/>
              <w:rPr>
                <w:rFonts w:ascii="宋体" w:hAnsi="宋体"/>
              </w:rPr>
            </w:pPr>
            <w:r>
              <w:rPr>
                <w:rFonts w:hint="eastAsia" w:ascii="宋体" w:hAnsi="宋体"/>
              </w:rPr>
              <w:t>业务联系人：</w:t>
            </w:r>
          </w:p>
        </w:tc>
        <w:tc>
          <w:tcPr>
            <w:tcW w:w="5670" w:type="dxa"/>
          </w:tcPr>
          <w:p>
            <w:pPr>
              <w:adjustRightInd w:val="0"/>
              <w:snapToGrid w:val="0"/>
              <w:spacing w:before="156" w:beforeLines="50" w:line="360" w:lineRule="auto"/>
              <w:ind w:left="420" w:leftChars="200" w:firstLine="420" w:firstLineChars="200"/>
              <w:rPr>
                <w:rFonts w:ascii="宋体" w:hAnsi="宋体"/>
              </w:rPr>
            </w:pPr>
            <w:r>
              <w:rPr>
                <w:rFonts w:hint="eastAsia" w:ascii="宋体" w:hAnsi="宋体"/>
              </w:rPr>
              <w:t>靳工1</w:t>
            </w:r>
            <w:r>
              <w:rPr>
                <w:rFonts w:ascii="宋体" w:hAnsi="宋体"/>
              </w:rPr>
              <w:t>3076865531</w:t>
            </w:r>
          </w:p>
        </w:tc>
      </w:tr>
      <w:tr>
        <w:tblPrEx>
          <w:tblCellMar>
            <w:top w:w="0" w:type="dxa"/>
            <w:left w:w="108" w:type="dxa"/>
            <w:bottom w:w="0" w:type="dxa"/>
            <w:right w:w="108" w:type="dxa"/>
          </w:tblCellMar>
        </w:tblPrEx>
        <w:tc>
          <w:tcPr>
            <w:tcW w:w="2093" w:type="dxa"/>
          </w:tcPr>
          <w:p>
            <w:pPr>
              <w:adjustRightInd w:val="0"/>
              <w:snapToGrid w:val="0"/>
              <w:spacing w:before="156" w:beforeLines="50" w:line="360" w:lineRule="auto"/>
              <w:ind w:left="420" w:leftChars="200" w:firstLine="420" w:firstLineChars="200"/>
              <w:rPr>
                <w:rFonts w:ascii="宋体" w:hAnsi="宋体"/>
              </w:rPr>
            </w:pPr>
            <w:r>
              <w:rPr>
                <w:rFonts w:hint="eastAsia" w:ascii="宋体" w:hAnsi="宋体"/>
              </w:rPr>
              <w:t>电子邮件：</w:t>
            </w:r>
          </w:p>
        </w:tc>
        <w:tc>
          <w:tcPr>
            <w:tcW w:w="5670" w:type="dxa"/>
          </w:tcPr>
          <w:p>
            <w:pPr>
              <w:adjustRightInd w:val="0"/>
              <w:snapToGrid w:val="0"/>
              <w:spacing w:before="156" w:beforeLines="50" w:line="360" w:lineRule="auto"/>
              <w:ind w:left="420" w:leftChars="200" w:firstLine="420" w:firstLineChars="200"/>
              <w:rPr>
                <w:rFonts w:ascii="宋体" w:hAnsi="宋体"/>
              </w:rPr>
            </w:pPr>
            <w:r>
              <w:rPr>
                <w:rFonts w:ascii="宋体" w:hAnsi="宋体"/>
              </w:rPr>
              <w:t>C</w:t>
            </w:r>
            <w:r>
              <w:rPr>
                <w:rFonts w:hint="eastAsia" w:ascii="宋体" w:hAnsi="宋体"/>
              </w:rPr>
              <w:t>rmscgz2019@163.com</w:t>
            </w:r>
          </w:p>
        </w:tc>
      </w:tr>
    </w:tbl>
    <w:p>
      <w:pPr>
        <w:adjustRightInd w:val="0"/>
        <w:snapToGrid w:val="0"/>
        <w:spacing w:before="156" w:beforeLines="50" w:line="360" w:lineRule="auto"/>
        <w:ind w:left="420" w:leftChars="200" w:right="735" w:firstLine="199" w:firstLineChars="95"/>
        <w:jc w:val="left"/>
        <w:rPr>
          <w:szCs w:val="21"/>
          <w:u w:val="single"/>
          <w:lang w:val="en-GB"/>
        </w:rPr>
      </w:pPr>
    </w:p>
    <w:p>
      <w:pPr>
        <w:adjustRightInd w:val="0"/>
        <w:snapToGrid w:val="0"/>
        <w:spacing w:before="156" w:beforeLines="50" w:line="360" w:lineRule="auto"/>
        <w:ind w:left="420" w:leftChars="200" w:right="420" w:firstLine="420" w:firstLineChars="200"/>
        <w:jc w:val="right"/>
        <w:rPr>
          <w:rFonts w:ascii="宋体" w:hAnsi="宋体"/>
          <w:szCs w:val="21"/>
        </w:rPr>
      </w:pPr>
    </w:p>
    <w:p>
      <w:pPr>
        <w:topLinePunct/>
        <w:autoSpaceDE w:val="0"/>
        <w:autoSpaceDN w:val="0"/>
        <w:spacing w:line="400" w:lineRule="exact"/>
        <w:ind w:left="360"/>
        <w:jc w:val="right"/>
        <w:rPr>
          <w:rFonts w:ascii="宋体" w:hAnsi="宋体"/>
          <w:kern w:val="0"/>
          <w:szCs w:val="21"/>
        </w:rPr>
      </w:pPr>
      <w:r>
        <w:rPr>
          <w:rFonts w:hint="eastAsia" w:ascii="宋体" w:hAnsi="宋体"/>
          <w:szCs w:val="21"/>
        </w:rPr>
        <w:t>广深股份公司广州电务段</w:t>
      </w:r>
    </w:p>
    <w:p>
      <w:pPr>
        <w:adjustRightInd w:val="0"/>
        <w:snapToGrid w:val="0"/>
        <w:spacing w:before="156" w:beforeLines="50" w:line="360" w:lineRule="auto"/>
        <w:ind w:left="420" w:leftChars="200" w:right="2310" w:firstLine="420" w:firstLineChars="200"/>
        <w:jc w:val="right"/>
      </w:pPr>
      <w:r>
        <w:rPr>
          <w:rFonts w:hint="eastAsia" w:ascii="宋体" w:hAnsi="宋体"/>
          <w:szCs w:val="21"/>
        </w:rPr>
        <w:t xml:space="preserve">负责人：  </w:t>
      </w:r>
    </w:p>
    <w:p>
      <w:pPr>
        <w:jc w:val="right"/>
      </w:pPr>
      <w:r>
        <w:rPr>
          <w:rFonts w:hint="eastAsia" w:ascii="宋体" w:hAnsi="宋体"/>
        </w:rPr>
        <w:t>2023</w:t>
      </w:r>
      <w:r>
        <w:rPr>
          <w:rFonts w:ascii="宋体" w:hAnsi="宋体"/>
        </w:rPr>
        <w:t>年</w:t>
      </w:r>
      <w:r>
        <w:rPr>
          <w:rFonts w:hint="eastAsia" w:ascii="宋体" w:hAnsi="宋体"/>
          <w:szCs w:val="21"/>
          <w:u w:val="single"/>
          <w:lang w:val="en-US" w:eastAsia="zh-CN"/>
        </w:rPr>
        <w:t>11</w:t>
      </w:r>
      <w:r>
        <w:rPr>
          <w:rFonts w:ascii="宋体" w:hAnsi="宋体"/>
        </w:rPr>
        <w:t>月</w:t>
      </w:r>
      <w:r>
        <w:rPr>
          <w:rFonts w:hint="eastAsia" w:ascii="宋体" w:hAnsi="宋体"/>
          <w:szCs w:val="21"/>
          <w:u w:val="single"/>
          <w:lang w:val="en-US" w:eastAsia="zh-CN"/>
        </w:rPr>
        <w:t>16</w:t>
      </w:r>
      <w:bookmarkStart w:id="56" w:name="_GoBack"/>
      <w:bookmarkEnd w:id="56"/>
      <w:r>
        <w:rPr>
          <w:rFonts w:hint="eastAsia" w:ascii="宋体" w:hAnsi="宋体"/>
        </w:rPr>
        <w:t>日</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left="420" w:right="360" w:firstLine="360"/>
      <w:jc w:val="center"/>
    </w:pPr>
    <w:r>
      <w:fldChar w:fldCharType="begin"/>
    </w:r>
    <w:r>
      <w:instrText xml:space="preserve">PAGE   \* MERGEFORMAT</w:instrText>
    </w:r>
    <w:r>
      <w:fldChar w:fldCharType="separate"/>
    </w:r>
    <w:r>
      <w:rPr>
        <w:lang w:val="zh-CN"/>
      </w:rPr>
      <w:t>5</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ZhOWE0MzFjYjkzZWJmZDViNzE5Yzc3YWI2MzQwZjkifQ=="/>
  </w:docVars>
  <w:rsids>
    <w:rsidRoot w:val="00052B4A"/>
    <w:rsid w:val="00052B4A"/>
    <w:rsid w:val="000F647F"/>
    <w:rsid w:val="00102CDE"/>
    <w:rsid w:val="00110D9D"/>
    <w:rsid w:val="0011222F"/>
    <w:rsid w:val="0017638E"/>
    <w:rsid w:val="0018480D"/>
    <w:rsid w:val="001F4D26"/>
    <w:rsid w:val="00306AE5"/>
    <w:rsid w:val="003322BB"/>
    <w:rsid w:val="003C434C"/>
    <w:rsid w:val="003F58EE"/>
    <w:rsid w:val="004312E3"/>
    <w:rsid w:val="0048183A"/>
    <w:rsid w:val="004B4AA6"/>
    <w:rsid w:val="004B4DC2"/>
    <w:rsid w:val="004D2E84"/>
    <w:rsid w:val="0051509E"/>
    <w:rsid w:val="00594399"/>
    <w:rsid w:val="006C1F05"/>
    <w:rsid w:val="006E0421"/>
    <w:rsid w:val="006F427A"/>
    <w:rsid w:val="007532F2"/>
    <w:rsid w:val="00775E74"/>
    <w:rsid w:val="007F0CA4"/>
    <w:rsid w:val="00877F69"/>
    <w:rsid w:val="00903566"/>
    <w:rsid w:val="00964C75"/>
    <w:rsid w:val="00987DA0"/>
    <w:rsid w:val="009D7C76"/>
    <w:rsid w:val="00A32A38"/>
    <w:rsid w:val="00AB5FA1"/>
    <w:rsid w:val="00B003A8"/>
    <w:rsid w:val="00B411FB"/>
    <w:rsid w:val="00B754A2"/>
    <w:rsid w:val="00BE29D7"/>
    <w:rsid w:val="00C410EC"/>
    <w:rsid w:val="00C44406"/>
    <w:rsid w:val="00C52C31"/>
    <w:rsid w:val="00C620B7"/>
    <w:rsid w:val="00C929CA"/>
    <w:rsid w:val="00CA7615"/>
    <w:rsid w:val="00CB44EE"/>
    <w:rsid w:val="00D955C1"/>
    <w:rsid w:val="00DC7A56"/>
    <w:rsid w:val="00E048A2"/>
    <w:rsid w:val="00E27DCF"/>
    <w:rsid w:val="00E90C62"/>
    <w:rsid w:val="00F2266D"/>
    <w:rsid w:val="04497378"/>
    <w:rsid w:val="04657F2A"/>
    <w:rsid w:val="052851DF"/>
    <w:rsid w:val="06EE10CD"/>
    <w:rsid w:val="08615713"/>
    <w:rsid w:val="0D032FEB"/>
    <w:rsid w:val="0DC40933"/>
    <w:rsid w:val="10A73DA4"/>
    <w:rsid w:val="17A74689"/>
    <w:rsid w:val="1A236E6C"/>
    <w:rsid w:val="1F780145"/>
    <w:rsid w:val="25D21A1C"/>
    <w:rsid w:val="2736499D"/>
    <w:rsid w:val="27D33279"/>
    <w:rsid w:val="2FFD0E93"/>
    <w:rsid w:val="310F0A44"/>
    <w:rsid w:val="324F5BF1"/>
    <w:rsid w:val="33024A12"/>
    <w:rsid w:val="341E25DD"/>
    <w:rsid w:val="344D4B67"/>
    <w:rsid w:val="36617CA1"/>
    <w:rsid w:val="3A2317DB"/>
    <w:rsid w:val="3C776471"/>
    <w:rsid w:val="3E2D5039"/>
    <w:rsid w:val="3F866C87"/>
    <w:rsid w:val="42707E35"/>
    <w:rsid w:val="42C41CE4"/>
    <w:rsid w:val="43764F00"/>
    <w:rsid w:val="453A6D9C"/>
    <w:rsid w:val="478F3EA8"/>
    <w:rsid w:val="47C52A01"/>
    <w:rsid w:val="49DE18DD"/>
    <w:rsid w:val="4F920DBB"/>
    <w:rsid w:val="50BE3F0B"/>
    <w:rsid w:val="53420F93"/>
    <w:rsid w:val="53DA4EC3"/>
    <w:rsid w:val="567710EF"/>
    <w:rsid w:val="56CD51B3"/>
    <w:rsid w:val="5787570C"/>
    <w:rsid w:val="5E575339"/>
    <w:rsid w:val="64373C6C"/>
    <w:rsid w:val="64966BE4"/>
    <w:rsid w:val="652178C3"/>
    <w:rsid w:val="66D47E98"/>
    <w:rsid w:val="681A7B2C"/>
    <w:rsid w:val="686231A1"/>
    <w:rsid w:val="68B81FBB"/>
    <w:rsid w:val="6A107439"/>
    <w:rsid w:val="6C0F12D1"/>
    <w:rsid w:val="717A163C"/>
    <w:rsid w:val="7AAB2D53"/>
    <w:rsid w:val="7D5947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1"/>
    <w:semiHidden/>
    <w:unhideWhenUsed/>
    <w:qFormat/>
    <w:uiPriority w:val="99"/>
    <w:rPr>
      <w:rFonts w:ascii="宋体"/>
      <w:sz w:val="18"/>
      <w:szCs w:val="18"/>
    </w:rPr>
  </w:style>
  <w:style w:type="paragraph" w:styleId="4">
    <w:name w:val="annotation text"/>
    <w:basedOn w:val="1"/>
    <w:link w:val="25"/>
    <w:qFormat/>
    <w:uiPriority w:val="0"/>
    <w:pPr>
      <w:jc w:val="left"/>
    </w:pPr>
  </w:style>
  <w:style w:type="paragraph" w:styleId="5">
    <w:name w:val="Body Text"/>
    <w:basedOn w:val="1"/>
    <w:link w:val="18"/>
    <w:qFormat/>
    <w:uiPriority w:val="0"/>
    <w:rPr>
      <w:rFonts w:ascii="仿宋_GB2312" w:hAnsi="宋体" w:eastAsia="仿宋_GB2312"/>
      <w:sz w:val="32"/>
      <w:szCs w:val="28"/>
    </w:rPr>
  </w:style>
  <w:style w:type="paragraph" w:styleId="6">
    <w:name w:val="Balloon Text"/>
    <w:basedOn w:val="1"/>
    <w:link w:val="32"/>
    <w:semiHidden/>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List"/>
    <w:basedOn w:val="1"/>
    <w:qFormat/>
    <w:uiPriority w:val="0"/>
    <w:pPr>
      <w:autoSpaceDE w:val="0"/>
      <w:autoSpaceDN w:val="0"/>
      <w:adjustRightInd w:val="0"/>
      <w:ind w:left="360" w:hanging="360"/>
      <w:jc w:val="left"/>
      <w:textAlignment w:val="baseline"/>
    </w:pPr>
    <w:rPr>
      <w:kern w:val="0"/>
      <w:sz w:val="20"/>
      <w:szCs w:val="20"/>
    </w:rPr>
  </w:style>
  <w:style w:type="paragraph" w:styleId="10">
    <w:name w:val="footnote text"/>
    <w:basedOn w:val="1"/>
    <w:link w:val="30"/>
    <w:semiHidden/>
    <w:unhideWhenUsed/>
    <w:qFormat/>
    <w:uiPriority w:val="99"/>
    <w:pPr>
      <w:snapToGrid w:val="0"/>
      <w:jc w:val="left"/>
    </w:pPr>
    <w:rPr>
      <w:sz w:val="18"/>
      <w:szCs w:val="18"/>
    </w:rPr>
  </w:style>
  <w:style w:type="paragraph" w:styleId="11">
    <w:name w:val="Normal (Web)"/>
    <w:basedOn w:val="1"/>
    <w:semiHidden/>
    <w:unhideWhenUsed/>
    <w:qFormat/>
    <w:uiPriority w:val="99"/>
    <w:rPr>
      <w:sz w:val="24"/>
    </w:rPr>
  </w:style>
  <w:style w:type="character" w:styleId="14">
    <w:name w:val="page number"/>
    <w:qFormat/>
    <w:uiPriority w:val="0"/>
  </w:style>
  <w:style w:type="character" w:styleId="15">
    <w:name w:val="Hyperlink"/>
    <w:basedOn w:val="13"/>
    <w:semiHidden/>
    <w:unhideWhenUsed/>
    <w:qFormat/>
    <w:uiPriority w:val="99"/>
    <w:rPr>
      <w:color w:val="0000FF"/>
      <w:u w:val="single"/>
    </w:rPr>
  </w:style>
  <w:style w:type="character" w:styleId="16">
    <w:name w:val="annotation reference"/>
    <w:basedOn w:val="13"/>
    <w:qFormat/>
    <w:uiPriority w:val="0"/>
    <w:rPr>
      <w:sz w:val="21"/>
      <w:szCs w:val="21"/>
    </w:rPr>
  </w:style>
  <w:style w:type="character" w:styleId="17">
    <w:name w:val="footnote reference"/>
    <w:basedOn w:val="13"/>
    <w:semiHidden/>
    <w:unhideWhenUsed/>
    <w:qFormat/>
    <w:uiPriority w:val="99"/>
    <w:rPr>
      <w:vertAlign w:val="superscript"/>
    </w:rPr>
  </w:style>
  <w:style w:type="character" w:customStyle="1" w:styleId="18">
    <w:name w:val="正文文本 字符"/>
    <w:basedOn w:val="13"/>
    <w:link w:val="5"/>
    <w:qFormat/>
    <w:uiPriority w:val="0"/>
    <w:rPr>
      <w:rFonts w:ascii="仿宋_GB2312" w:hAnsi="宋体" w:eastAsia="仿宋_GB2312" w:cs="Times New Roman"/>
      <w:sz w:val="32"/>
      <w:szCs w:val="28"/>
    </w:rPr>
  </w:style>
  <w:style w:type="paragraph" w:customStyle="1" w:styleId="19">
    <w:name w:val="样式 标题 2 + Times New Roman 四号 非加粗 段前: 5 磅 段后: 0 磅 行距: 固定值 20..."/>
    <w:basedOn w:val="2"/>
    <w:qFormat/>
    <w:uiPriority w:val="0"/>
    <w:pPr>
      <w:spacing w:before="100" w:after="0" w:line="400" w:lineRule="exact"/>
    </w:pPr>
    <w:rPr>
      <w:rFonts w:ascii="Times New Roman" w:hAnsi="Times New Roman" w:eastAsia="黑体" w:cs="宋体"/>
      <w:b w:val="0"/>
      <w:bCs w:val="0"/>
      <w:sz w:val="28"/>
      <w:szCs w:val="20"/>
    </w:rPr>
  </w:style>
  <w:style w:type="character" w:customStyle="1" w:styleId="20">
    <w:name w:val="标题 2 字符"/>
    <w:basedOn w:val="13"/>
    <w:link w:val="2"/>
    <w:qFormat/>
    <w:uiPriority w:val="9"/>
    <w:rPr>
      <w:rFonts w:asciiTheme="majorHAnsi" w:hAnsiTheme="majorHAnsi" w:eastAsiaTheme="majorEastAsia" w:cstheme="majorBidi"/>
      <w:b/>
      <w:bCs/>
      <w:sz w:val="32"/>
      <w:szCs w:val="32"/>
    </w:rPr>
  </w:style>
  <w:style w:type="character" w:customStyle="1" w:styleId="21">
    <w:name w:val="文档结构图 字符"/>
    <w:basedOn w:val="13"/>
    <w:link w:val="3"/>
    <w:semiHidden/>
    <w:qFormat/>
    <w:uiPriority w:val="99"/>
    <w:rPr>
      <w:rFonts w:ascii="宋体" w:hAnsi="Times New Roman" w:eastAsia="宋体" w:cs="Times New Roman"/>
      <w:sz w:val="18"/>
      <w:szCs w:val="18"/>
    </w:rPr>
  </w:style>
  <w:style w:type="character" w:customStyle="1" w:styleId="22">
    <w:name w:val="页眉 字符"/>
    <w:basedOn w:val="13"/>
    <w:link w:val="8"/>
    <w:qFormat/>
    <w:uiPriority w:val="99"/>
    <w:rPr>
      <w:rFonts w:ascii="Times New Roman" w:hAnsi="Times New Roman" w:eastAsia="宋体" w:cs="Times New Roman"/>
      <w:sz w:val="18"/>
      <w:szCs w:val="18"/>
    </w:rPr>
  </w:style>
  <w:style w:type="character" w:customStyle="1" w:styleId="23">
    <w:name w:val="页脚 字符"/>
    <w:basedOn w:val="13"/>
    <w:link w:val="7"/>
    <w:qFormat/>
    <w:uiPriority w:val="99"/>
    <w:rPr>
      <w:rFonts w:ascii="Times New Roman" w:hAnsi="Times New Roman" w:eastAsia="宋体" w:cs="Times New Roman"/>
      <w:sz w:val="18"/>
      <w:szCs w:val="18"/>
    </w:rPr>
  </w:style>
  <w:style w:type="character" w:customStyle="1" w:styleId="24">
    <w:name w:val="批注文字 字符"/>
    <w:basedOn w:val="13"/>
    <w:semiHidden/>
    <w:qFormat/>
    <w:uiPriority w:val="99"/>
    <w:rPr>
      <w:rFonts w:ascii="Times New Roman" w:hAnsi="Times New Roman" w:eastAsia="宋体" w:cs="Times New Roman"/>
      <w:szCs w:val="24"/>
    </w:rPr>
  </w:style>
  <w:style w:type="character" w:customStyle="1" w:styleId="25">
    <w:name w:val="批注文字 字符1"/>
    <w:basedOn w:val="13"/>
    <w:link w:val="4"/>
    <w:qFormat/>
    <w:uiPriority w:val="0"/>
    <w:rPr>
      <w:rFonts w:ascii="Times New Roman" w:hAnsi="Times New Roman" w:eastAsia="宋体" w:cs="Times New Roman"/>
      <w:szCs w:val="24"/>
    </w:rPr>
  </w:style>
  <w:style w:type="character" w:customStyle="1" w:styleId="26">
    <w:name w:val="15"/>
    <w:basedOn w:val="13"/>
    <w:qFormat/>
    <w:uiPriority w:val="0"/>
    <w:rPr>
      <w:rFonts w:hint="default" w:ascii="Times New Roman" w:hAnsi="Times New Roman" w:cs="Times New Roman"/>
    </w:rPr>
  </w:style>
  <w:style w:type="paragraph" w:customStyle="1" w:styleId="27">
    <w:name w:val="样式 正文小四wg + 首行缩进:  2 字符"/>
    <w:basedOn w:val="1"/>
    <w:qFormat/>
    <w:uiPriority w:val="0"/>
    <w:pPr>
      <w:autoSpaceDE w:val="0"/>
      <w:autoSpaceDN w:val="0"/>
      <w:adjustRightInd w:val="0"/>
      <w:ind w:firstLine="200" w:firstLineChars="200"/>
    </w:pPr>
    <w:rPr>
      <w:rFonts w:ascii="仿宋_GB2312" w:hAnsi="宋体" w:eastAsia="仿宋_GB2312" w:cs="宋体"/>
      <w:color w:val="000000"/>
      <w:kern w:val="20"/>
      <w:sz w:val="24"/>
      <w:szCs w:val="20"/>
    </w:rPr>
  </w:style>
  <w:style w:type="character" w:customStyle="1" w:styleId="28">
    <w:name w:val="正文文本 字符1"/>
    <w:qFormat/>
    <w:uiPriority w:val="0"/>
    <w:rPr>
      <w:rFonts w:ascii="仿宋_GB2312" w:hAnsi="宋体" w:eastAsia="仿宋_GB2312"/>
      <w:kern w:val="2"/>
      <w:sz w:val="32"/>
      <w:szCs w:val="28"/>
    </w:rPr>
  </w:style>
  <w:style w:type="paragraph" w:customStyle="1" w:styleId="29">
    <w:name w:val="正文 含缩进"/>
    <w:basedOn w:val="1"/>
    <w:link w:val="31"/>
    <w:qFormat/>
    <w:uiPriority w:val="0"/>
    <w:pPr>
      <w:ind w:firstLine="424" w:firstLineChars="202"/>
      <w:jc w:val="left"/>
    </w:pPr>
  </w:style>
  <w:style w:type="character" w:customStyle="1" w:styleId="30">
    <w:name w:val="脚注文本 字符"/>
    <w:basedOn w:val="13"/>
    <w:link w:val="10"/>
    <w:semiHidden/>
    <w:qFormat/>
    <w:uiPriority w:val="99"/>
    <w:rPr>
      <w:kern w:val="2"/>
      <w:sz w:val="18"/>
      <w:szCs w:val="18"/>
    </w:rPr>
  </w:style>
  <w:style w:type="character" w:customStyle="1" w:styleId="31">
    <w:name w:val="正文 含缩进 Char"/>
    <w:basedOn w:val="13"/>
    <w:link w:val="29"/>
    <w:qFormat/>
    <w:uiPriority w:val="0"/>
    <w:rPr>
      <w:kern w:val="2"/>
      <w:sz w:val="21"/>
      <w:szCs w:val="24"/>
    </w:rPr>
  </w:style>
  <w:style w:type="character" w:customStyle="1" w:styleId="32">
    <w:name w:val="批注框文本 字符"/>
    <w:basedOn w:val="13"/>
    <w:link w:val="6"/>
    <w:semiHidden/>
    <w:qFormat/>
    <w:uiPriority w:val="99"/>
    <w:rPr>
      <w:kern w:val="2"/>
      <w:sz w:val="18"/>
      <w:szCs w:val="18"/>
    </w:rPr>
  </w:style>
  <w:style w:type="paragraph" w:customStyle="1" w:styleId="33">
    <w:name w:val="样式 WG标题2 + 行距: 固定值 18 磅"/>
    <w:basedOn w:val="1"/>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421</Words>
  <Characters>2406</Characters>
  <Lines>20</Lines>
  <Paragraphs>5</Paragraphs>
  <TotalTime>1</TotalTime>
  <ScaleCrop>false</ScaleCrop>
  <LinksUpToDate>false</LinksUpToDate>
  <CharactersWithSpaces>2822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2022-02-16T06:49:00Z</dcterms:created>
  <dc:creator>Think</dc:creator>
  <cp:lastModifiedBy>Administrator</cp:lastModifiedBy>
  <cp:lastPrinted>2022-03-04T07:35:00Z</cp:lastPrinted>
  <dcterms:modified xsi:type="dcterms:W3CDTF">2023-11-16T09:44:05Z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320C6BF325444E66B32EA4B0A62B779F</vt:lpwstr>
  </property>
</Properties>
</file>