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2A" w:rsidRDefault="00ED3FB3" w:rsidP="00ED3FB3">
      <w:bookmarkStart w:id="0" w:name="_GoBack"/>
      <w:r>
        <w:t>A</w:t>
      </w:r>
      <w:r>
        <w:t>股简称</w:t>
      </w:r>
      <w:r>
        <w:rPr>
          <w:rFonts w:hint="eastAsia"/>
        </w:rPr>
        <w:t>：</w:t>
      </w:r>
      <w:r>
        <w:t>广深铁路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股票代码：</w:t>
      </w:r>
      <w:r>
        <w:rPr>
          <w:rFonts w:hint="eastAsia"/>
        </w:rPr>
        <w:t xml:space="preserve">601333      </w:t>
      </w:r>
      <w: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>公告编号：</w:t>
      </w:r>
      <w:r>
        <w:rPr>
          <w:rFonts w:hint="eastAsia"/>
        </w:rPr>
        <w:t>2024-010</w:t>
      </w:r>
    </w:p>
    <w:p w:rsidR="00CA6C2A" w:rsidRDefault="00CA6C2A" w:rsidP="00ED3FB3">
      <w:pPr>
        <w:rPr>
          <w:rFonts w:hint="eastAsia"/>
        </w:rPr>
      </w:pPr>
    </w:p>
    <w:p w:rsidR="00CA6C2A" w:rsidRDefault="00ED3FB3">
      <w:pPr>
        <w:ind w:firstLine="720"/>
        <w:jc w:val="center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广深铁路股份有限公司</w:t>
      </w:r>
    </w:p>
    <w:p w:rsidR="00CA6C2A" w:rsidRDefault="00ED3FB3">
      <w:pPr>
        <w:ind w:firstLine="720"/>
        <w:jc w:val="center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2023</w:t>
      </w:r>
      <w:r>
        <w:rPr>
          <w:rFonts w:ascii="黑体" w:eastAsia="黑体" w:hAnsi="黑体" w:hint="eastAsia"/>
          <w:color w:val="FF0000"/>
          <w:sz w:val="36"/>
          <w:szCs w:val="36"/>
        </w:rPr>
        <w:t>年年度利润分配方案公告</w:t>
      </w:r>
    </w:p>
    <w:p w:rsidR="00ED3FB3" w:rsidRPr="00ED3FB3" w:rsidRDefault="00ED3FB3" w:rsidP="00ED3FB3">
      <w:pPr>
        <w:rPr>
          <w:rFonts w:ascii="黑体" w:eastAsia="黑体" w:hAnsi="黑体" w:hint="eastAsia"/>
          <w:color w:val="FF0000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A6C2A">
        <w:tc>
          <w:tcPr>
            <w:tcW w:w="8522" w:type="dxa"/>
          </w:tcPr>
          <w:p w:rsidR="00CA6C2A" w:rsidRDefault="00ED3FB3">
            <w:pPr>
              <w:pStyle w:val="a5"/>
              <w:spacing w:beforeLines="50" w:before="156"/>
              <w:ind w:firstLineChars="200" w:firstLine="480"/>
              <w:rPr>
                <w:rFonts w:ascii="楷体_GB2312" w:eastAsia="楷体_GB2312" w:hAnsi="Arial" w:cs="Arial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CA6C2A" w:rsidRDefault="00CA6C2A" w:rsidP="00ED3FB3">
      <w:pPr>
        <w:pStyle w:val="a5"/>
        <w:rPr>
          <w:rFonts w:ascii="楷体_GB2312" w:eastAsia="楷体_GB2312" w:hAnsi="Arial" w:cs="Arial" w:hint="eastAsia"/>
          <w:sz w:val="24"/>
        </w:rPr>
      </w:pPr>
    </w:p>
    <w:p w:rsidR="00CA6C2A" w:rsidRDefault="00ED3FB3">
      <w:pPr>
        <w:adjustRightInd w:val="0"/>
        <w:snapToGrid w:val="0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重要内容提示：</w:t>
      </w:r>
    </w:p>
    <w:p w:rsidR="00CA6C2A" w:rsidRDefault="00ED3FB3">
      <w:pPr>
        <w:widowControl/>
        <w:adjustRightInd w:val="0"/>
        <w:snapToGrid w:val="0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>
        <w:rPr>
          <w:rFonts w:ascii="Wingdings" w:eastAsia="仿宋_GB2312" w:hAnsi="Wingdings"/>
          <w:sz w:val="30"/>
          <w:szCs w:val="30"/>
        </w:rPr>
        <w:t></w:t>
      </w:r>
      <w:r>
        <w:rPr>
          <w:rFonts w:ascii="仿宋_GB2312" w:eastAsia="仿宋_GB2312" w:hAnsi="宋体" w:hint="eastAsia"/>
          <w:sz w:val="30"/>
          <w:szCs w:val="30"/>
        </w:rPr>
        <w:t>每股派发现金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红利人民币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0.07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元（含税）。</w:t>
      </w:r>
    </w:p>
    <w:p w:rsidR="00CA6C2A" w:rsidRDefault="00ED3FB3">
      <w:pPr>
        <w:numPr>
          <w:ilvl w:val="3"/>
          <w:numId w:val="0"/>
        </w:numPr>
        <w:tabs>
          <w:tab w:val="left" w:pos="1080"/>
        </w:tabs>
        <w:adjustRightInd w:val="0"/>
        <w:snapToGrid w:val="0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Wingdings" w:eastAsia="仿宋_GB2312" w:hAnsi="Wingdings"/>
          <w:sz w:val="30"/>
          <w:szCs w:val="30"/>
        </w:rPr>
        <w:t></w:t>
      </w:r>
      <w:r>
        <w:rPr>
          <w:rFonts w:ascii="仿宋_GB2312" w:eastAsia="仿宋_GB2312" w:hAnsi="宋体" w:hint="eastAsia"/>
          <w:sz w:val="30"/>
          <w:szCs w:val="30"/>
        </w:rPr>
        <w:t>本次利润分配以实施权益分派股权登记日登记的总股本为基数，具体日期将在权益分派实施公告中明确。</w:t>
      </w:r>
    </w:p>
    <w:p w:rsidR="00CA6C2A" w:rsidRDefault="00ED3FB3">
      <w:pPr>
        <w:numPr>
          <w:ilvl w:val="3"/>
          <w:numId w:val="0"/>
        </w:numPr>
        <w:tabs>
          <w:tab w:val="left" w:pos="1080"/>
        </w:tabs>
        <w:adjustRightInd w:val="0"/>
        <w:snapToGrid w:val="0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Wingdings" w:eastAsia="仿宋_GB2312" w:hAnsi="Wingdings"/>
          <w:sz w:val="30"/>
          <w:szCs w:val="30"/>
        </w:rPr>
        <w:t></w:t>
      </w:r>
      <w:r>
        <w:rPr>
          <w:rFonts w:ascii="仿宋_GB2312" w:eastAsia="仿宋_GB2312" w:hAnsi="宋体" w:hint="eastAsia"/>
          <w:sz w:val="30"/>
          <w:szCs w:val="30"/>
        </w:rPr>
        <w:t>在实施权益分派的股权登记日前公司总股本发生变动的，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拟维持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分配总额不变，相应调整每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分配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金额</w:t>
      </w:r>
      <w:r>
        <w:rPr>
          <w:rFonts w:ascii="仿宋_GB2312" w:eastAsia="仿宋_GB2312" w:hAnsi="宋体" w:hint="eastAsia"/>
          <w:sz w:val="30"/>
          <w:szCs w:val="30"/>
        </w:rPr>
        <w:t>，并将另行公告具体调整情况。</w:t>
      </w:r>
    </w:p>
    <w:p w:rsidR="00CA6C2A" w:rsidRDefault="00CA6C2A">
      <w:pPr>
        <w:widowControl/>
        <w:adjustRightInd w:val="0"/>
        <w:snapToGrid w:val="0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:rsidR="00CA6C2A" w:rsidRDefault="00ED3FB3">
      <w:pPr>
        <w:widowControl/>
        <w:adjustRightInd w:val="0"/>
        <w:snapToGrid w:val="0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一、利润分配方案内容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经普华永道中天会计师事务所（特殊普通合伙）审计，截至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日，公司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母公司报表中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期末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未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分配利润为人民币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478,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937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万元。经董事会决议，公司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年年度拟以实施权益分派股权登记日登记的总股本为基数分配利润。本次利润分配方案如下：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公司拟向全体股东每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股派发现金红利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0.70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元（含税）。截至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日，公司总股本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7,083,537,000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股，以此计算合计拟派发现金红利</w:t>
      </w:r>
      <w:r>
        <w:rPr>
          <w:rFonts w:ascii="仿宋_GB2312" w:eastAsia="仿宋_GB2312" w:hint="eastAsia"/>
          <w:sz w:val="30"/>
          <w:szCs w:val="30"/>
        </w:rPr>
        <w:t>49,584.759</w:t>
      </w:r>
      <w:r>
        <w:rPr>
          <w:rFonts w:ascii="仿宋_GB2312" w:eastAsia="仿宋_GB2312"/>
          <w:sz w:val="30"/>
          <w:szCs w:val="30"/>
        </w:rPr>
        <w:t>万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元（含税）。本年度公司现金分红比例为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47%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如在本公告披露之日起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至实施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权益分派股权登记日期间，因回购股份、股权激励授予股份回购注销、重大资产重组股份回购注销等致使公司总股本发生变动的，公司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拟维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持分配总额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不变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，相应调整每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分配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金额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。如后续总股本发生变化，将另行公告具体调整情况。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本次利润分配方案尚需提交股东大会审议。</w:t>
      </w:r>
    </w:p>
    <w:p w:rsidR="00CA6C2A" w:rsidRDefault="00CA6C2A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CA6C2A" w:rsidRDefault="00ED3FB3">
      <w:pPr>
        <w:widowControl/>
        <w:adjustRightInd w:val="0"/>
        <w:snapToGrid w:val="0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二、公司履行的决策程序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（一）董事会会议的召开、审议和表决情况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本公司于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日召开第十届董事会第六次会议审议通过了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本次利润分配方案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，本方案符合本公司章程规定的利润分配政策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案尚需提交公司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年度股东周年大会审议批准。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（二）监事会意见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本公司于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日召开公司第十届监事会第四次会议审议通过了本次利润分配方案。认为本次分配方案符合有关法律法规及本公司章程的规定，符合公司经营发展需票，不存在损害股东利益的情形。</w:t>
      </w:r>
    </w:p>
    <w:p w:rsidR="00CA6C2A" w:rsidRDefault="00CA6C2A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CA6C2A" w:rsidRDefault="00ED3FB3">
      <w:pPr>
        <w:widowControl/>
        <w:adjustRightInd w:val="0"/>
        <w:snapToGrid w:val="0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三、相关风险提示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（一）本次利润分配方案结合了公司发展阶段、未来资金需求等因素，不会对公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司经营现金流产生重大影响，不会影响公司正常经营和长远发展。</w:t>
      </w:r>
    </w:p>
    <w:p w:rsidR="00CA6C2A" w:rsidRDefault="00ED3FB3">
      <w:pPr>
        <w:widowControl/>
        <w:adjustRightInd w:val="0"/>
        <w:snapToGrid w:val="0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（二）本次利润分配尚需提交公司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年度股东周年大会审议批准后方可实施，请广大投资者注意投资风险。</w:t>
      </w:r>
    </w:p>
    <w:p w:rsidR="00CA6C2A" w:rsidRDefault="00CA6C2A">
      <w:pPr>
        <w:widowControl/>
        <w:adjustRightInd w:val="0"/>
        <w:snapToGrid w:val="0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CA6C2A" w:rsidRDefault="00ED3FB3">
      <w:pPr>
        <w:adjustRightInd w:val="0"/>
        <w:snapToGrid w:val="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特此公告。</w:t>
      </w:r>
    </w:p>
    <w:p w:rsidR="00ED3FB3" w:rsidRDefault="00ED3FB3">
      <w:pPr>
        <w:adjustRightInd w:val="0"/>
        <w:snapToGrid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</w:p>
    <w:p w:rsidR="00CA6C2A" w:rsidRDefault="00ED3FB3">
      <w:pPr>
        <w:adjustRightInd w:val="0"/>
        <w:snapToGrid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广深铁路股份有限公司董事会</w:t>
      </w:r>
    </w:p>
    <w:p w:rsidR="00CA6C2A" w:rsidRDefault="00ED3FB3">
      <w:pPr>
        <w:adjustRightInd w:val="0"/>
        <w:snapToGrid w:val="0"/>
        <w:ind w:firstLineChars="200" w:firstLine="600"/>
        <w:jc w:val="right"/>
      </w:pPr>
      <w:r>
        <w:rPr>
          <w:rFonts w:ascii="仿宋" w:eastAsia="仿宋" w:hAnsi="仿宋" w:hint="eastAsia"/>
          <w:sz w:val="30"/>
          <w:szCs w:val="30"/>
        </w:rPr>
        <w:t xml:space="preserve">                         2024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28</w:t>
      </w:r>
      <w:r>
        <w:rPr>
          <w:rFonts w:ascii="仿宋" w:eastAsia="仿宋" w:hAnsi="仿宋" w:hint="eastAsia"/>
          <w:sz w:val="30"/>
          <w:szCs w:val="30"/>
        </w:rPr>
        <w:t>日</w:t>
      </w:r>
      <w:bookmarkEnd w:id="0"/>
    </w:p>
    <w:sectPr w:rsidR="00CA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U1MTIyNjNiM2RhNTU0MTkyMzgzNTQ2MDMzODFiMGEifQ=="/>
  </w:docVars>
  <w:rsids>
    <w:rsidRoot w:val="4E5C3BD1"/>
    <w:rsid w:val="00017C6F"/>
    <w:rsid w:val="000504B9"/>
    <w:rsid w:val="00361103"/>
    <w:rsid w:val="004B684C"/>
    <w:rsid w:val="006B2883"/>
    <w:rsid w:val="00776D17"/>
    <w:rsid w:val="0082396A"/>
    <w:rsid w:val="008B402C"/>
    <w:rsid w:val="00987F0C"/>
    <w:rsid w:val="009C59DC"/>
    <w:rsid w:val="00A85DA5"/>
    <w:rsid w:val="00AA08CA"/>
    <w:rsid w:val="00AF0FE9"/>
    <w:rsid w:val="00CA6C2A"/>
    <w:rsid w:val="00E01482"/>
    <w:rsid w:val="00E657C9"/>
    <w:rsid w:val="00ED3FB3"/>
    <w:rsid w:val="02623D20"/>
    <w:rsid w:val="030E2A1D"/>
    <w:rsid w:val="03233B39"/>
    <w:rsid w:val="03F41C0C"/>
    <w:rsid w:val="042E76E8"/>
    <w:rsid w:val="049A047A"/>
    <w:rsid w:val="054E3B88"/>
    <w:rsid w:val="05C75018"/>
    <w:rsid w:val="07A136E3"/>
    <w:rsid w:val="07BC4F09"/>
    <w:rsid w:val="090A2052"/>
    <w:rsid w:val="0A9E1625"/>
    <w:rsid w:val="0AC66564"/>
    <w:rsid w:val="0B9E1C73"/>
    <w:rsid w:val="0D1932F7"/>
    <w:rsid w:val="0D215FD9"/>
    <w:rsid w:val="0D510B25"/>
    <w:rsid w:val="0EB41202"/>
    <w:rsid w:val="0EF03411"/>
    <w:rsid w:val="0F3A03D5"/>
    <w:rsid w:val="100400BE"/>
    <w:rsid w:val="10324AA7"/>
    <w:rsid w:val="11CA2814"/>
    <w:rsid w:val="12952A8E"/>
    <w:rsid w:val="12E47E62"/>
    <w:rsid w:val="12E811A1"/>
    <w:rsid w:val="13572672"/>
    <w:rsid w:val="13AA571F"/>
    <w:rsid w:val="16FE5CB5"/>
    <w:rsid w:val="170724F0"/>
    <w:rsid w:val="175F3E89"/>
    <w:rsid w:val="17F9399C"/>
    <w:rsid w:val="18594E82"/>
    <w:rsid w:val="18A83776"/>
    <w:rsid w:val="1BA26EEC"/>
    <w:rsid w:val="1C327630"/>
    <w:rsid w:val="1D0C3601"/>
    <w:rsid w:val="1D541809"/>
    <w:rsid w:val="1DC10E66"/>
    <w:rsid w:val="1F3B5FA3"/>
    <w:rsid w:val="1FED3C33"/>
    <w:rsid w:val="20033679"/>
    <w:rsid w:val="200916E0"/>
    <w:rsid w:val="20F90E6F"/>
    <w:rsid w:val="21D844B0"/>
    <w:rsid w:val="220754CD"/>
    <w:rsid w:val="22FB21A5"/>
    <w:rsid w:val="23266BCB"/>
    <w:rsid w:val="2446139C"/>
    <w:rsid w:val="246229CD"/>
    <w:rsid w:val="252B11E4"/>
    <w:rsid w:val="25CD19F3"/>
    <w:rsid w:val="27092D54"/>
    <w:rsid w:val="27475688"/>
    <w:rsid w:val="275B2550"/>
    <w:rsid w:val="29133402"/>
    <w:rsid w:val="2952233B"/>
    <w:rsid w:val="29E35B07"/>
    <w:rsid w:val="2AED5A5A"/>
    <w:rsid w:val="2C183368"/>
    <w:rsid w:val="2CC56979"/>
    <w:rsid w:val="2E887E99"/>
    <w:rsid w:val="2EC27625"/>
    <w:rsid w:val="2F071B83"/>
    <w:rsid w:val="2FFA2682"/>
    <w:rsid w:val="30C44BB6"/>
    <w:rsid w:val="30EF2FE9"/>
    <w:rsid w:val="31F77EB6"/>
    <w:rsid w:val="31FB2525"/>
    <w:rsid w:val="323C47DE"/>
    <w:rsid w:val="329B6513"/>
    <w:rsid w:val="32BF4FDB"/>
    <w:rsid w:val="334618BC"/>
    <w:rsid w:val="33657BC0"/>
    <w:rsid w:val="342D201E"/>
    <w:rsid w:val="34B6358B"/>
    <w:rsid w:val="350B6F0F"/>
    <w:rsid w:val="357F1609"/>
    <w:rsid w:val="35D529C4"/>
    <w:rsid w:val="35E471EA"/>
    <w:rsid w:val="38313154"/>
    <w:rsid w:val="3924096D"/>
    <w:rsid w:val="397606F4"/>
    <w:rsid w:val="3A076F1A"/>
    <w:rsid w:val="3A9A5EBC"/>
    <w:rsid w:val="3CE27B73"/>
    <w:rsid w:val="3D8D2580"/>
    <w:rsid w:val="3D945EA4"/>
    <w:rsid w:val="3E48577E"/>
    <w:rsid w:val="40910FD1"/>
    <w:rsid w:val="40AC68C8"/>
    <w:rsid w:val="42F426A9"/>
    <w:rsid w:val="460366E2"/>
    <w:rsid w:val="48AE42D5"/>
    <w:rsid w:val="49135532"/>
    <w:rsid w:val="49BF27B9"/>
    <w:rsid w:val="49E54F5D"/>
    <w:rsid w:val="4AF44948"/>
    <w:rsid w:val="4C530AF0"/>
    <w:rsid w:val="4CE3045A"/>
    <w:rsid w:val="4CEC5F3B"/>
    <w:rsid w:val="4D654966"/>
    <w:rsid w:val="4DB92472"/>
    <w:rsid w:val="4E5C3BD1"/>
    <w:rsid w:val="4F0E3E58"/>
    <w:rsid w:val="4F787850"/>
    <w:rsid w:val="50064DEE"/>
    <w:rsid w:val="50C1480A"/>
    <w:rsid w:val="515447A2"/>
    <w:rsid w:val="52B475A0"/>
    <w:rsid w:val="52EA1686"/>
    <w:rsid w:val="538E1EAE"/>
    <w:rsid w:val="5411028B"/>
    <w:rsid w:val="54C147F0"/>
    <w:rsid w:val="55805278"/>
    <w:rsid w:val="55FF45D8"/>
    <w:rsid w:val="569431F1"/>
    <w:rsid w:val="58823136"/>
    <w:rsid w:val="590768F3"/>
    <w:rsid w:val="5A4B7A66"/>
    <w:rsid w:val="5AAC1210"/>
    <w:rsid w:val="5BF459F6"/>
    <w:rsid w:val="5E772F2B"/>
    <w:rsid w:val="5E98282E"/>
    <w:rsid w:val="5F0C6DC5"/>
    <w:rsid w:val="5F77502A"/>
    <w:rsid w:val="5FC14704"/>
    <w:rsid w:val="5FD82037"/>
    <w:rsid w:val="60FC3948"/>
    <w:rsid w:val="62245F4F"/>
    <w:rsid w:val="62C97FE9"/>
    <w:rsid w:val="63B01473"/>
    <w:rsid w:val="656D4535"/>
    <w:rsid w:val="67E75E76"/>
    <w:rsid w:val="68252593"/>
    <w:rsid w:val="68C077CC"/>
    <w:rsid w:val="69B468E2"/>
    <w:rsid w:val="69CE5DED"/>
    <w:rsid w:val="69E97074"/>
    <w:rsid w:val="69FF7CB7"/>
    <w:rsid w:val="6A6B0604"/>
    <w:rsid w:val="6B4C7928"/>
    <w:rsid w:val="6D08143E"/>
    <w:rsid w:val="6D7F57E3"/>
    <w:rsid w:val="6E4527B4"/>
    <w:rsid w:val="6E746F22"/>
    <w:rsid w:val="6F0F7A2E"/>
    <w:rsid w:val="6FE2102D"/>
    <w:rsid w:val="71224351"/>
    <w:rsid w:val="75BB7DEA"/>
    <w:rsid w:val="75E676DD"/>
    <w:rsid w:val="75F062C4"/>
    <w:rsid w:val="7667683F"/>
    <w:rsid w:val="768C5051"/>
    <w:rsid w:val="76FA187D"/>
    <w:rsid w:val="78A35272"/>
    <w:rsid w:val="79183750"/>
    <w:rsid w:val="79D675FB"/>
    <w:rsid w:val="79E22D74"/>
    <w:rsid w:val="79F802AA"/>
    <w:rsid w:val="7BAD36A6"/>
    <w:rsid w:val="7BF05867"/>
    <w:rsid w:val="7CDF6528"/>
    <w:rsid w:val="7D4E401E"/>
    <w:rsid w:val="7DF2792D"/>
    <w:rsid w:val="7E7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49C51"/>
  <w15:docId w15:val="{B598A8A9-E741-4036-9188-A06DA81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ody Text"/>
    <w:basedOn w:val="a"/>
    <w:autoRedefine/>
    <w:uiPriority w:val="99"/>
    <w:unhideWhenUsed/>
    <w:qFormat/>
    <w:pPr>
      <w:spacing w:after="120"/>
    </w:pPr>
  </w:style>
  <w:style w:type="paragraph" w:styleId="a6">
    <w:name w:val="foot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autoRedefine/>
    <w:qFormat/>
    <w:rPr>
      <w:b/>
      <w:bCs/>
    </w:rPr>
  </w:style>
  <w:style w:type="character" w:styleId="ac">
    <w:name w:val="Hyperlink"/>
    <w:autoRedefine/>
    <w:qFormat/>
    <w:rPr>
      <w:color w:val="0000FF"/>
      <w:u w:val="single"/>
    </w:rPr>
  </w:style>
  <w:style w:type="character" w:styleId="ad">
    <w:name w:val="annotation reference"/>
    <w:basedOn w:val="a0"/>
    <w:autoRedefine/>
    <w:qFormat/>
    <w:rPr>
      <w:sz w:val="21"/>
      <w:szCs w:val="21"/>
    </w:rPr>
  </w:style>
  <w:style w:type="character" w:customStyle="1" w:styleId="a9">
    <w:name w:val="页眉 字符"/>
    <w:basedOn w:val="a0"/>
    <w:link w:val="a8"/>
    <w:autoRedefine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qFormat/>
    <w:rPr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autoRedefine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autoRedefine/>
    <w:qFormat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ED3FB3"/>
    <w:rPr>
      <w:sz w:val="18"/>
      <w:szCs w:val="18"/>
    </w:rPr>
  </w:style>
  <w:style w:type="character" w:customStyle="1" w:styleId="af">
    <w:name w:val="批注框文本 字符"/>
    <w:basedOn w:val="a0"/>
    <w:link w:val="ae"/>
    <w:rsid w:val="00ED3F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gracedeng莫逆</dc:creator>
  <cp:lastModifiedBy>admin</cp:lastModifiedBy>
  <cp:revision>8</cp:revision>
  <cp:lastPrinted>2024-03-26T02:26:00Z</cp:lastPrinted>
  <dcterms:created xsi:type="dcterms:W3CDTF">2024-03-26T07:11:00Z</dcterms:created>
  <dcterms:modified xsi:type="dcterms:W3CDTF">2024-03-27T08:44:00Z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4D566868125D4470B2050CB831946E0B_13</vt:lpwstr>
  </property>
</Properties>
</file>